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B0970">
        <w:rPr>
          <w:b/>
          <w:bCs/>
          <w:sz w:val="32"/>
          <w:szCs w:val="32"/>
        </w:rPr>
        <w:t>CONTENTS</w:t>
      </w:r>
    </w:p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67" w:type="dxa"/>
        <w:tblCellSpacing w:w="15" w:type="dxa"/>
        <w:tblInd w:w="0" w:type="dxa"/>
        <w:tblLook w:val="04A0"/>
      </w:tblPr>
      <w:tblGrid>
        <w:gridCol w:w="622"/>
        <w:gridCol w:w="7513"/>
        <w:gridCol w:w="286"/>
        <w:gridCol w:w="1146"/>
      </w:tblGrid>
      <w:tr w:rsidR="00CD4DA6" w:rsidRPr="001555D4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DA6" w:rsidRPr="00AE1E8F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E1E8F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7483" w:type="dxa"/>
            <w:vAlign w:val="center"/>
          </w:tcPr>
          <w:p w:rsidR="00CD4DA6" w:rsidRPr="00E114CD" w:rsidRDefault="00CD4DA6" w:rsidP="00CD4DA6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114CD">
              <w:rPr>
                <w:b/>
                <w:bCs/>
                <w:sz w:val="20"/>
                <w:szCs w:val="20"/>
              </w:rPr>
              <w:t>Genetic Variation among Nine Egyptian Gecko Species (Reptilia: Gekkonidae) Based on RAPD-PCR</w:t>
            </w:r>
          </w:p>
          <w:p w:rsidR="00CD4DA6" w:rsidRPr="00E114CD" w:rsidRDefault="00CD4DA6" w:rsidP="00CD4DA6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114CD">
              <w:rPr>
                <w:sz w:val="20"/>
                <w:szCs w:val="20"/>
              </w:rPr>
              <w:t>Ramadan A. M. Ali</w:t>
            </w:r>
          </w:p>
          <w:p w:rsidR="00CD4DA6" w:rsidRPr="00E114CD" w:rsidRDefault="00CD4DA6" w:rsidP="00CD4D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D4DA6" w:rsidRPr="00E114CD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CD4DA6" w:rsidRPr="00CD4DA6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D4DA6">
              <w:rPr>
                <w:b/>
                <w:sz w:val="20"/>
                <w:szCs w:val="20"/>
              </w:rPr>
              <w:t>154-162</w:t>
            </w:r>
          </w:p>
        </w:tc>
      </w:tr>
      <w:tr w:rsidR="00CD4DA6" w:rsidRPr="001555D4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DA6" w:rsidRPr="00AE1E8F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E1E8F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7483" w:type="dxa"/>
            <w:vAlign w:val="center"/>
          </w:tcPr>
          <w:p w:rsidR="00CD4DA6" w:rsidRPr="00E114CD" w:rsidRDefault="00CD4DA6" w:rsidP="00CD4DA6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114CD">
              <w:rPr>
                <w:b/>
                <w:bCs/>
                <w:sz w:val="20"/>
                <w:szCs w:val="20"/>
              </w:rPr>
              <w:t>Role of Diffusion Tensor Imaging in Characterization and Preoperative Planning of Brain Neoplasms</w:t>
            </w:r>
          </w:p>
          <w:p w:rsidR="00CD4DA6" w:rsidRPr="00E114CD" w:rsidRDefault="00CD4DA6" w:rsidP="00CD4DA6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114CD">
              <w:rPr>
                <w:sz w:val="20"/>
                <w:szCs w:val="20"/>
              </w:rPr>
              <w:t>Mohsen Gomaa and Yosra abdel zaher</w:t>
            </w:r>
          </w:p>
          <w:p w:rsidR="00CD4DA6" w:rsidRPr="00E114CD" w:rsidRDefault="00CD4DA6" w:rsidP="00CD4DA6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D4DA6" w:rsidRPr="00E114CD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CD4DA6" w:rsidRPr="00CD4DA6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D4DA6">
              <w:rPr>
                <w:b/>
                <w:sz w:val="20"/>
                <w:szCs w:val="20"/>
              </w:rPr>
              <w:t>163-176</w:t>
            </w:r>
          </w:p>
        </w:tc>
      </w:tr>
      <w:tr w:rsidR="00CD4DA6" w:rsidRPr="001555D4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DA6" w:rsidRPr="00AE1E8F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E1E8F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7483" w:type="dxa"/>
            <w:vAlign w:val="center"/>
          </w:tcPr>
          <w:p w:rsidR="00CD4DA6" w:rsidRPr="00E114CD" w:rsidRDefault="00CD4DA6" w:rsidP="00CD4DA6">
            <w:pPr>
              <w:pStyle w:val="20"/>
              <w:spacing w:after="0" w:line="240" w:lineRule="auto"/>
              <w:jc w:val="both"/>
              <w:rPr>
                <w:sz w:val="20"/>
                <w:szCs w:val="20"/>
              </w:rPr>
            </w:pPr>
            <w:r w:rsidRPr="00E114CD">
              <w:rPr>
                <w:b/>
                <w:bCs/>
                <w:sz w:val="20"/>
                <w:szCs w:val="20"/>
              </w:rPr>
              <w:t>Detection of Genotoxicity of Phenolic Antioxidants, Butylated hydroxyanisole and</w:t>
            </w:r>
            <w:r w:rsidRPr="00E114CD">
              <w:rPr>
                <w:b/>
                <w:bCs/>
                <w:i/>
                <w:iCs/>
                <w:sz w:val="20"/>
                <w:szCs w:val="20"/>
              </w:rPr>
              <w:t>tert</w:t>
            </w:r>
            <w:r w:rsidRPr="00E114CD">
              <w:rPr>
                <w:b/>
                <w:bCs/>
                <w:sz w:val="20"/>
                <w:szCs w:val="20"/>
              </w:rPr>
              <w:t>-butylhydroquinonein Multiple Mouse Organs by the Alkaline Comet Assay</w:t>
            </w:r>
          </w:p>
          <w:p w:rsidR="00CD4DA6" w:rsidRPr="00E114CD" w:rsidRDefault="00CD4DA6" w:rsidP="00CD4DA6">
            <w:pPr>
              <w:jc w:val="both"/>
              <w:rPr>
                <w:sz w:val="20"/>
                <w:szCs w:val="20"/>
              </w:rPr>
            </w:pPr>
            <w:r w:rsidRPr="00E114CD">
              <w:rPr>
                <w:sz w:val="20"/>
                <w:szCs w:val="20"/>
              </w:rPr>
              <w:t>Ramadan, A.M. Ali, Takayoshi Suzuki</w:t>
            </w:r>
          </w:p>
          <w:p w:rsidR="00CD4DA6" w:rsidRPr="00E114CD" w:rsidRDefault="00CD4DA6" w:rsidP="00CD4DA6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D4DA6" w:rsidRPr="00E114CD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CD4DA6" w:rsidRPr="00CD4DA6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D4DA6">
              <w:rPr>
                <w:b/>
                <w:sz w:val="20"/>
                <w:szCs w:val="20"/>
              </w:rPr>
              <w:t>177-183</w:t>
            </w:r>
          </w:p>
        </w:tc>
      </w:tr>
      <w:tr w:rsidR="00CD4DA6" w:rsidRPr="001555D4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DA6" w:rsidRPr="00AE1E8F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E1E8F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7483" w:type="dxa"/>
            <w:vAlign w:val="center"/>
          </w:tcPr>
          <w:p w:rsidR="00CD4DA6" w:rsidRPr="00E114CD" w:rsidRDefault="00CD4DA6" w:rsidP="00CD4DA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114CD">
              <w:rPr>
                <w:b/>
                <w:bCs/>
                <w:color w:val="000000"/>
                <w:spacing w:val="3"/>
                <w:sz w:val="20"/>
                <w:szCs w:val="20"/>
              </w:rPr>
              <w:t>Natural Cases of Rickets in Baraki Goat Kids</w:t>
            </w:r>
          </w:p>
          <w:p w:rsidR="00CD4DA6" w:rsidRPr="00E114CD" w:rsidRDefault="00CD4DA6" w:rsidP="00CD4DA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114CD">
              <w:rPr>
                <w:color w:val="000000"/>
                <w:spacing w:val="3"/>
                <w:sz w:val="20"/>
                <w:szCs w:val="20"/>
              </w:rPr>
              <w:t>Mona.S. Zaki, Awadalla. I.M, Mohamed. M.I, Iman. M. Zytaun, Sami Shalaby, Nagwa Atta, and Suzan.O. Mostafa.</w:t>
            </w:r>
          </w:p>
          <w:p w:rsidR="00CD4DA6" w:rsidRPr="00E114CD" w:rsidRDefault="00CD4DA6" w:rsidP="00CD4DA6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D4DA6" w:rsidRPr="00E114CD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CD4DA6" w:rsidRPr="00CD4DA6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D4DA6">
              <w:rPr>
                <w:b/>
                <w:sz w:val="20"/>
                <w:szCs w:val="20"/>
              </w:rPr>
              <w:t>184-188</w:t>
            </w:r>
          </w:p>
        </w:tc>
      </w:tr>
      <w:tr w:rsidR="00CD4DA6" w:rsidRPr="001555D4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DA6" w:rsidRPr="00AE1E8F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E1E8F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7483" w:type="dxa"/>
            <w:vAlign w:val="center"/>
          </w:tcPr>
          <w:p w:rsidR="00CD4DA6" w:rsidRPr="00E114CD" w:rsidRDefault="00CD4DA6" w:rsidP="00CD4DA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114CD">
              <w:rPr>
                <w:b/>
                <w:bCs/>
                <w:sz w:val="20"/>
                <w:szCs w:val="20"/>
              </w:rPr>
              <w:t>Clinical and laboratory approach for the identification of the risk for tumour lysis syndrome in children withacute lymphoblastic leukemia.</w:t>
            </w:r>
          </w:p>
          <w:p w:rsidR="00CD4DA6" w:rsidRPr="00E114CD" w:rsidRDefault="00CD4DA6" w:rsidP="00CD4DA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114CD">
              <w:rPr>
                <w:bCs/>
                <w:sz w:val="20"/>
                <w:szCs w:val="20"/>
              </w:rPr>
              <w:t>Hesham A. Abdel-Baset, Eman Nasr Eldin, Azza A. Eltayeb, Almontaser M. Hussein.</w:t>
            </w:r>
          </w:p>
          <w:p w:rsidR="00CD4DA6" w:rsidRPr="00E114CD" w:rsidRDefault="00CD4DA6" w:rsidP="00CD4D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D4DA6" w:rsidRPr="00E114CD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CD4DA6" w:rsidRPr="00CD4DA6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D4DA6">
              <w:rPr>
                <w:b/>
                <w:sz w:val="20"/>
                <w:szCs w:val="20"/>
              </w:rPr>
              <w:t>189-195</w:t>
            </w:r>
          </w:p>
        </w:tc>
      </w:tr>
      <w:tr w:rsidR="00CD4DA6" w:rsidRPr="001555D4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DA6" w:rsidRPr="00AE1E8F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E1E8F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7483" w:type="dxa"/>
            <w:vAlign w:val="center"/>
          </w:tcPr>
          <w:p w:rsidR="00CD4DA6" w:rsidRPr="00E114CD" w:rsidRDefault="00CD4DA6" w:rsidP="00CD4DA6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114CD">
              <w:rPr>
                <w:b/>
                <w:bCs/>
                <w:sz w:val="20"/>
                <w:szCs w:val="20"/>
              </w:rPr>
              <w:t>Application of chitosan for wound repair in dogs.</w:t>
            </w:r>
          </w:p>
          <w:p w:rsidR="00CD4DA6" w:rsidRPr="00E114CD" w:rsidRDefault="00CD4DA6" w:rsidP="00CD4DA6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114CD">
              <w:rPr>
                <w:sz w:val="20"/>
                <w:szCs w:val="20"/>
              </w:rPr>
              <w:t>Inas, N.El-Husseiny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E114CD">
              <w:rPr>
                <w:sz w:val="20"/>
                <w:szCs w:val="20"/>
              </w:rPr>
              <w:t>and Kawkab, A. Ahmed</w:t>
            </w:r>
          </w:p>
          <w:p w:rsidR="00CD4DA6" w:rsidRPr="00E114CD" w:rsidRDefault="00CD4DA6" w:rsidP="00CD4DA6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D4DA6" w:rsidRPr="00E114CD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CD4DA6" w:rsidRPr="00CD4DA6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D4DA6">
              <w:rPr>
                <w:b/>
                <w:sz w:val="20"/>
                <w:szCs w:val="20"/>
              </w:rPr>
              <w:t>196-203</w:t>
            </w:r>
          </w:p>
        </w:tc>
      </w:tr>
      <w:tr w:rsidR="00CD4DA6" w:rsidRPr="001555D4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DA6" w:rsidRPr="00AE1E8F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E1E8F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7483" w:type="dxa"/>
            <w:vAlign w:val="center"/>
          </w:tcPr>
          <w:p w:rsidR="00CD4DA6" w:rsidRPr="00E114CD" w:rsidRDefault="00CD4DA6" w:rsidP="00CD4DA6">
            <w:pPr>
              <w:jc w:val="both"/>
              <w:rPr>
                <w:sz w:val="20"/>
                <w:szCs w:val="20"/>
              </w:rPr>
            </w:pPr>
            <w:r w:rsidRPr="00E114CD">
              <w:rPr>
                <w:b/>
                <w:bCs/>
                <w:color w:val="000000"/>
                <w:sz w:val="20"/>
                <w:szCs w:val="20"/>
              </w:rPr>
              <w:t>Detection of Circulating Microparticles in Patients with Proliferative Diabetic Retinopathy</w:t>
            </w:r>
          </w:p>
          <w:p w:rsidR="00CD4DA6" w:rsidRPr="00E114CD" w:rsidRDefault="00CD4DA6" w:rsidP="00CD4DA6">
            <w:pPr>
              <w:jc w:val="both"/>
              <w:rPr>
                <w:sz w:val="20"/>
                <w:szCs w:val="20"/>
              </w:rPr>
            </w:pPr>
            <w:r w:rsidRPr="00E114CD">
              <w:rPr>
                <w:color w:val="000000"/>
                <w:sz w:val="20"/>
                <w:szCs w:val="20"/>
              </w:rPr>
              <w:t>Samy A Khodeir, Y M Abd El Raouf, Gihan Farouk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E114CD">
              <w:rPr>
                <w:color w:val="000000"/>
                <w:sz w:val="20"/>
                <w:szCs w:val="20"/>
              </w:rPr>
              <w:t>and Mohammed EL-Bradey</w:t>
            </w:r>
          </w:p>
          <w:p w:rsidR="00CD4DA6" w:rsidRPr="00E114CD" w:rsidRDefault="00CD4DA6" w:rsidP="00CD4D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D4DA6" w:rsidRPr="00E114CD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CD4DA6" w:rsidRPr="00CD4DA6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D4DA6">
              <w:rPr>
                <w:b/>
                <w:color w:val="000000"/>
                <w:sz w:val="20"/>
                <w:szCs w:val="20"/>
              </w:rPr>
              <w:t>204-209</w:t>
            </w:r>
          </w:p>
        </w:tc>
      </w:tr>
      <w:tr w:rsidR="00CD4DA6" w:rsidRPr="001555D4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DA6" w:rsidRPr="00AE1E8F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E1E8F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7483" w:type="dxa"/>
            <w:vAlign w:val="center"/>
          </w:tcPr>
          <w:p w:rsidR="00CD4DA6" w:rsidRPr="00E114CD" w:rsidRDefault="00CD4DA6" w:rsidP="00CD4DA6">
            <w:pPr>
              <w:jc w:val="both"/>
              <w:rPr>
                <w:sz w:val="20"/>
                <w:szCs w:val="20"/>
              </w:rPr>
            </w:pPr>
            <w:r w:rsidRPr="00E114CD">
              <w:rPr>
                <w:b/>
                <w:bCs/>
                <w:sz w:val="20"/>
                <w:szCs w:val="20"/>
              </w:rPr>
              <w:t>Effect of the Strengthened Ribs in Hybrid Toughened Kenaf/ Glass Epoxy Composite Bumper Beam</w:t>
            </w:r>
          </w:p>
          <w:p w:rsidR="00CD4DA6" w:rsidRPr="00E114CD" w:rsidRDefault="00CD4DA6" w:rsidP="00CD4DA6">
            <w:pPr>
              <w:jc w:val="both"/>
              <w:rPr>
                <w:sz w:val="20"/>
                <w:szCs w:val="20"/>
              </w:rPr>
            </w:pPr>
            <w:r w:rsidRPr="00E114CD">
              <w:rPr>
                <w:sz w:val="20"/>
                <w:szCs w:val="20"/>
              </w:rPr>
              <w:t>M.M. Davoodi, S.M. Sapuan, Aidy Ali, D. Ahmad</w:t>
            </w:r>
          </w:p>
          <w:p w:rsidR="00CD4DA6" w:rsidRPr="00E114CD" w:rsidRDefault="00CD4DA6" w:rsidP="00CD4D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D4DA6" w:rsidRPr="00E114CD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CD4DA6" w:rsidRPr="00CD4DA6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D4DA6">
              <w:rPr>
                <w:b/>
                <w:sz w:val="20"/>
                <w:szCs w:val="20"/>
              </w:rPr>
              <w:t>210-213</w:t>
            </w:r>
          </w:p>
        </w:tc>
      </w:tr>
      <w:tr w:rsidR="00CD4DA6" w:rsidRPr="001555D4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DA6" w:rsidRPr="00AE1E8F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E1E8F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7483" w:type="dxa"/>
            <w:vAlign w:val="center"/>
          </w:tcPr>
          <w:p w:rsidR="00CD4DA6" w:rsidRPr="00E114CD" w:rsidRDefault="00CD4DA6" w:rsidP="00CD4DA6">
            <w:pPr>
              <w:jc w:val="both"/>
              <w:rPr>
                <w:sz w:val="20"/>
                <w:szCs w:val="20"/>
              </w:rPr>
            </w:pPr>
            <w:r w:rsidRPr="00E114CD">
              <w:rPr>
                <w:b/>
                <w:bCs/>
                <w:sz w:val="20"/>
                <w:szCs w:val="20"/>
              </w:rPr>
              <w:t>Impact of Orlistat on Body Weight and Lipid Profile of Adult Population</w:t>
            </w:r>
          </w:p>
          <w:p w:rsidR="00CD4DA6" w:rsidRPr="00E114CD" w:rsidRDefault="00CD4DA6" w:rsidP="00CD4DA6">
            <w:pPr>
              <w:jc w:val="both"/>
              <w:rPr>
                <w:sz w:val="20"/>
                <w:szCs w:val="20"/>
              </w:rPr>
            </w:pPr>
            <w:r w:rsidRPr="00E114CD">
              <w:rPr>
                <w:sz w:val="20"/>
                <w:szCs w:val="20"/>
              </w:rPr>
              <w:t>Randa M Shams, Medhat A Saleh, Mohamed E Abdelrahim.Asmaa S M Mohamed</w:t>
            </w:r>
          </w:p>
          <w:p w:rsidR="00CD4DA6" w:rsidRPr="00E114CD" w:rsidRDefault="00CD4DA6" w:rsidP="00CD4D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D4DA6" w:rsidRPr="00E114CD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CD4DA6" w:rsidRPr="00CD4DA6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D4DA6">
              <w:rPr>
                <w:b/>
                <w:sz w:val="20"/>
                <w:szCs w:val="20"/>
              </w:rPr>
              <w:t>214-219</w:t>
            </w:r>
          </w:p>
        </w:tc>
      </w:tr>
      <w:tr w:rsidR="00CD4DA6" w:rsidRPr="001555D4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DA6" w:rsidRPr="00AE1E8F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E1E8F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7483" w:type="dxa"/>
            <w:vAlign w:val="center"/>
          </w:tcPr>
          <w:p w:rsidR="00CD4DA6" w:rsidRPr="00E114CD" w:rsidRDefault="00CD4DA6" w:rsidP="00CD4DA6">
            <w:pPr>
              <w:jc w:val="both"/>
              <w:rPr>
                <w:sz w:val="20"/>
                <w:szCs w:val="20"/>
              </w:rPr>
            </w:pPr>
            <w:r w:rsidRPr="00E114CD">
              <w:rPr>
                <w:b/>
                <w:bCs/>
                <w:sz w:val="20"/>
                <w:szCs w:val="20"/>
              </w:rPr>
              <w:t>Synthesis of Some Aryl Thienopyridine, Pyridothienopyrimidine, and Pyridothienotriazolopyrimidine Derivatives</w:t>
            </w:r>
          </w:p>
          <w:p w:rsidR="00CD4DA6" w:rsidRPr="00E114CD" w:rsidRDefault="00CD4DA6" w:rsidP="00CD4DA6">
            <w:pPr>
              <w:jc w:val="both"/>
              <w:rPr>
                <w:sz w:val="20"/>
                <w:szCs w:val="20"/>
              </w:rPr>
            </w:pPr>
            <w:r w:rsidRPr="00E114CD">
              <w:rPr>
                <w:sz w:val="20"/>
                <w:szCs w:val="20"/>
              </w:rPr>
              <w:t>Ali Khader El-Louh, Shadia Mahmoud Abdallah and Emtithal Ahmed El-Sawi</w:t>
            </w:r>
          </w:p>
          <w:p w:rsidR="00CD4DA6" w:rsidRPr="00E114CD" w:rsidRDefault="00CD4DA6" w:rsidP="00CD4D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D4DA6" w:rsidRPr="00E114CD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CD4DA6" w:rsidRPr="00CD4DA6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D4DA6">
              <w:rPr>
                <w:b/>
                <w:sz w:val="20"/>
                <w:szCs w:val="20"/>
              </w:rPr>
              <w:t>220-230</w:t>
            </w:r>
          </w:p>
        </w:tc>
      </w:tr>
      <w:tr w:rsidR="00CD4DA6" w:rsidRPr="001555D4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DA6" w:rsidRPr="00AE1E8F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E1E8F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7483" w:type="dxa"/>
            <w:vAlign w:val="center"/>
          </w:tcPr>
          <w:p w:rsidR="00CD4DA6" w:rsidRPr="00E114CD" w:rsidRDefault="00CD4DA6" w:rsidP="00CD4DA6">
            <w:pPr>
              <w:jc w:val="both"/>
              <w:rPr>
                <w:sz w:val="20"/>
                <w:szCs w:val="20"/>
              </w:rPr>
            </w:pPr>
            <w:bookmarkStart w:id="0" w:name="OLE_LINK193"/>
            <w:r w:rsidRPr="00E114CD">
              <w:rPr>
                <w:b/>
                <w:bCs/>
                <w:sz w:val="20"/>
                <w:szCs w:val="20"/>
              </w:rPr>
              <w:t>Designing A Model For Quality of Employee-Organization Relationships (EORs) Based On Analysis Hierarchical Process (AHP)</w:t>
            </w:r>
            <w:bookmarkEnd w:id="0"/>
          </w:p>
          <w:p w:rsidR="00CD4DA6" w:rsidRPr="00E114CD" w:rsidRDefault="00CD4DA6" w:rsidP="00CD4DA6">
            <w:pPr>
              <w:jc w:val="both"/>
              <w:rPr>
                <w:sz w:val="20"/>
                <w:szCs w:val="20"/>
              </w:rPr>
            </w:pPr>
            <w:r w:rsidRPr="00E114CD">
              <w:rPr>
                <w:sz w:val="20"/>
                <w:szCs w:val="20"/>
              </w:rPr>
              <w:t xml:space="preserve">PH.D. Professor Ali Akbar Farhangi , Sara moazen , Maryam Aliei </w:t>
            </w:r>
          </w:p>
          <w:p w:rsidR="00CD4DA6" w:rsidRPr="00E114CD" w:rsidRDefault="00CD4DA6" w:rsidP="00CD4D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D4DA6" w:rsidRPr="00E114CD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CD4DA6" w:rsidRPr="00CD4DA6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D4DA6">
              <w:rPr>
                <w:b/>
                <w:sz w:val="20"/>
                <w:szCs w:val="20"/>
              </w:rPr>
              <w:t>231-241</w:t>
            </w:r>
          </w:p>
        </w:tc>
      </w:tr>
      <w:tr w:rsidR="00CD4DA6" w:rsidRPr="001555D4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DA6" w:rsidRPr="00AE1E8F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E1E8F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7483" w:type="dxa"/>
            <w:vAlign w:val="center"/>
          </w:tcPr>
          <w:p w:rsidR="00CD4DA6" w:rsidRPr="00E114CD" w:rsidRDefault="00CD4DA6" w:rsidP="00CD4DA6">
            <w:pPr>
              <w:jc w:val="both"/>
              <w:rPr>
                <w:sz w:val="20"/>
                <w:szCs w:val="20"/>
              </w:rPr>
            </w:pPr>
            <w:r w:rsidRPr="00E114CD">
              <w:rPr>
                <w:b/>
                <w:bCs/>
                <w:sz w:val="20"/>
                <w:szCs w:val="20"/>
              </w:rPr>
              <w:t>Upper Cretaceous Planktonic Foraminiferal Biostratigraphy of East Dorfak Area (Guilan – North ofIran</w:t>
            </w:r>
            <w:r w:rsidRPr="00E114CD">
              <w:rPr>
                <w:sz w:val="20"/>
                <w:szCs w:val="20"/>
              </w:rPr>
              <w:t>)</w:t>
            </w:r>
          </w:p>
          <w:p w:rsidR="00CD4DA6" w:rsidRPr="00E114CD" w:rsidRDefault="00CD4DA6" w:rsidP="00CD4DA6">
            <w:pPr>
              <w:jc w:val="both"/>
              <w:rPr>
                <w:sz w:val="20"/>
                <w:szCs w:val="20"/>
              </w:rPr>
            </w:pPr>
            <w:bookmarkStart w:id="1" w:name="OLE_LINK192"/>
            <w:r w:rsidRPr="00E114CD">
              <w:rPr>
                <w:sz w:val="20"/>
                <w:szCs w:val="20"/>
              </w:rPr>
              <w:t>Mohammad Modaresnia, Khosro Khosrotehrani, Iraj Momeni,</w:t>
            </w:r>
            <w:bookmarkEnd w:id="1"/>
            <w:r w:rsidRPr="00E114CD">
              <w:rPr>
                <w:sz w:val="20"/>
                <w:szCs w:val="20"/>
              </w:rPr>
              <w:t>Seyed Ahmad</w:t>
            </w:r>
            <w:r w:rsidRPr="00E114CD">
              <w:rPr>
                <w:rStyle w:val="grame"/>
                <w:sz w:val="20"/>
                <w:szCs w:val="20"/>
              </w:rPr>
              <w:t>Babazadeh</w:t>
            </w:r>
          </w:p>
          <w:p w:rsidR="00CD4DA6" w:rsidRPr="00E114CD" w:rsidRDefault="00CD4DA6" w:rsidP="00CD4DA6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D4DA6" w:rsidRPr="00E114CD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CD4DA6" w:rsidRPr="00CD4DA6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D4DA6">
              <w:rPr>
                <w:b/>
                <w:sz w:val="20"/>
                <w:szCs w:val="20"/>
              </w:rPr>
              <w:t>242-253</w:t>
            </w:r>
          </w:p>
        </w:tc>
      </w:tr>
      <w:tr w:rsidR="00CD4DA6" w:rsidRPr="001555D4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DA6" w:rsidRPr="00AE1E8F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E1E8F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7483" w:type="dxa"/>
            <w:vAlign w:val="center"/>
          </w:tcPr>
          <w:p w:rsidR="00CD4DA6" w:rsidRPr="00E114CD" w:rsidRDefault="00CD4DA6" w:rsidP="00CD4DA6">
            <w:pPr>
              <w:jc w:val="both"/>
              <w:rPr>
                <w:sz w:val="20"/>
                <w:szCs w:val="20"/>
              </w:rPr>
            </w:pPr>
            <w:r w:rsidRPr="00E114CD">
              <w:rPr>
                <w:b/>
                <w:bCs/>
                <w:sz w:val="20"/>
                <w:szCs w:val="20"/>
              </w:rPr>
              <w:t>Multifunctionality of the Iranian Agriculture Sector in a Partial Equilibrium Framework</w:t>
            </w:r>
          </w:p>
          <w:p w:rsidR="00CD4DA6" w:rsidRPr="00E114CD" w:rsidRDefault="00CD4DA6" w:rsidP="00CD4DA6">
            <w:pPr>
              <w:jc w:val="both"/>
              <w:rPr>
                <w:sz w:val="20"/>
                <w:szCs w:val="20"/>
              </w:rPr>
            </w:pPr>
            <w:r w:rsidRPr="00E114CD">
              <w:rPr>
                <w:sz w:val="20"/>
                <w:szCs w:val="20"/>
              </w:rPr>
              <w:t>Zahra Kiani-Feyzabad, Seyed-Ali Hosseini-Yekani, Seyed-Mojtaba Mojaverian</w:t>
            </w:r>
          </w:p>
          <w:p w:rsidR="00CD4DA6" w:rsidRPr="00E114CD" w:rsidRDefault="00CD4DA6" w:rsidP="00CD4DA6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D4DA6" w:rsidRPr="00E114CD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CD4DA6" w:rsidRPr="00CD4DA6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D4DA6">
              <w:rPr>
                <w:b/>
                <w:sz w:val="20"/>
                <w:szCs w:val="20"/>
              </w:rPr>
              <w:t>254-264</w:t>
            </w:r>
          </w:p>
        </w:tc>
      </w:tr>
      <w:tr w:rsidR="00CD4DA6" w:rsidRPr="001555D4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DA6" w:rsidRPr="00AE1E8F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E1E8F">
              <w:rPr>
                <w:b/>
                <w:sz w:val="20"/>
                <w:szCs w:val="20"/>
              </w:rPr>
              <w:lastRenderedPageBreak/>
              <w:t>36</w:t>
            </w:r>
          </w:p>
        </w:tc>
        <w:tc>
          <w:tcPr>
            <w:tcW w:w="7483" w:type="dxa"/>
            <w:vAlign w:val="center"/>
          </w:tcPr>
          <w:p w:rsidR="00CD4DA6" w:rsidRPr="00E114CD" w:rsidRDefault="00CD4DA6" w:rsidP="00CD4DA6">
            <w:pPr>
              <w:jc w:val="both"/>
              <w:rPr>
                <w:sz w:val="20"/>
                <w:szCs w:val="20"/>
              </w:rPr>
            </w:pPr>
            <w:r w:rsidRPr="00E114CD">
              <w:rPr>
                <w:b/>
                <w:bCs/>
                <w:sz w:val="20"/>
                <w:szCs w:val="20"/>
              </w:rPr>
              <w:t>Association between CC16 Polymorphism and Bronchial Asthma</w:t>
            </w:r>
          </w:p>
          <w:p w:rsidR="00CD4DA6" w:rsidRPr="00E114CD" w:rsidRDefault="00CD4DA6" w:rsidP="00CD4DA6">
            <w:pPr>
              <w:jc w:val="both"/>
              <w:rPr>
                <w:sz w:val="20"/>
                <w:szCs w:val="20"/>
              </w:rPr>
            </w:pPr>
            <w:r w:rsidRPr="00E114CD">
              <w:rPr>
                <w:sz w:val="20"/>
                <w:szCs w:val="20"/>
              </w:rPr>
              <w:t>Nisreen M.El Abiad, Hisham Waheed, William M. Morcos,SamarM. Salem, and Hala Ataa, Olfat G. Shaker</w:t>
            </w:r>
          </w:p>
          <w:p w:rsidR="00CD4DA6" w:rsidRPr="00E114CD" w:rsidRDefault="00CD4DA6" w:rsidP="00CD4D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D4DA6" w:rsidRPr="00E114CD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CD4DA6" w:rsidRPr="00CD4DA6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D4DA6">
              <w:rPr>
                <w:b/>
                <w:sz w:val="20"/>
                <w:szCs w:val="20"/>
              </w:rPr>
              <w:t>265-270</w:t>
            </w:r>
          </w:p>
        </w:tc>
      </w:tr>
      <w:tr w:rsidR="00CD4DA6" w:rsidRPr="001555D4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DA6" w:rsidRPr="00AE1E8F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E1E8F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7483" w:type="dxa"/>
            <w:vAlign w:val="center"/>
          </w:tcPr>
          <w:p w:rsidR="00CD4DA6" w:rsidRPr="00E114CD" w:rsidRDefault="00CD4DA6" w:rsidP="00CD4DA6">
            <w:pPr>
              <w:pStyle w:val="nospacing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4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Laparoscopic / Thoracoscopic Ivor Lewis Esophageal Resection for Cancer</w:t>
            </w:r>
          </w:p>
          <w:p w:rsidR="00CD4DA6" w:rsidRPr="00E114CD" w:rsidRDefault="00CD4DA6" w:rsidP="00CD4DA6">
            <w:pPr>
              <w:pStyle w:val="nospacing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4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(Report of Two Cases and Review of the Literature)</w:t>
            </w:r>
          </w:p>
          <w:p w:rsidR="00CD4DA6" w:rsidRPr="00E114CD" w:rsidRDefault="00CD4DA6" w:rsidP="00CD4DA6">
            <w:pPr>
              <w:jc w:val="both"/>
              <w:rPr>
                <w:sz w:val="20"/>
                <w:szCs w:val="20"/>
              </w:rPr>
            </w:pPr>
            <w:r w:rsidRPr="00E114CD">
              <w:rPr>
                <w:bCs/>
                <w:sz w:val="20"/>
                <w:szCs w:val="20"/>
              </w:rPr>
              <w:t>Saleh M. Aldaqal</w:t>
            </w:r>
          </w:p>
          <w:p w:rsidR="00CD4DA6" w:rsidRPr="00E114CD" w:rsidRDefault="00CD4DA6" w:rsidP="00CD4D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D4DA6" w:rsidRPr="00E114CD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CD4DA6" w:rsidRPr="00CD4DA6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D4DA6">
              <w:rPr>
                <w:b/>
                <w:sz w:val="20"/>
                <w:szCs w:val="20"/>
              </w:rPr>
              <w:t>271-276</w:t>
            </w:r>
          </w:p>
        </w:tc>
      </w:tr>
      <w:tr w:rsidR="00CD4DA6" w:rsidRPr="001555D4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DA6" w:rsidRPr="00AE1E8F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E1E8F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7483" w:type="dxa"/>
            <w:vAlign w:val="center"/>
          </w:tcPr>
          <w:p w:rsidR="00CD4DA6" w:rsidRPr="00E114CD" w:rsidRDefault="00CD4DA6" w:rsidP="00CD4DA6">
            <w:pPr>
              <w:jc w:val="both"/>
              <w:rPr>
                <w:sz w:val="20"/>
                <w:szCs w:val="20"/>
              </w:rPr>
            </w:pPr>
            <w:r w:rsidRPr="00E114CD">
              <w:rPr>
                <w:b/>
                <w:bCs/>
                <w:sz w:val="20"/>
                <w:szCs w:val="20"/>
              </w:rPr>
              <w:t>Determinants of Patient Satisfaction in the Surgical ward at a University Hospital in Saudi Arabia</w:t>
            </w:r>
          </w:p>
          <w:p w:rsidR="00CD4DA6" w:rsidRPr="00E114CD" w:rsidRDefault="00CD4DA6" w:rsidP="00CD4DA6">
            <w:pPr>
              <w:jc w:val="both"/>
              <w:rPr>
                <w:sz w:val="20"/>
                <w:szCs w:val="20"/>
              </w:rPr>
            </w:pPr>
            <w:r w:rsidRPr="00E114CD">
              <w:rPr>
                <w:sz w:val="20"/>
                <w:szCs w:val="20"/>
              </w:rPr>
              <w:t>Saleh M. Aldaqal; Hattan Alghamdi; Hassan AlTurki; Basem S. El-deekandAhmed A. Kensarah</w:t>
            </w:r>
          </w:p>
          <w:p w:rsidR="00CD4DA6" w:rsidRPr="00E114CD" w:rsidRDefault="00CD4DA6" w:rsidP="00CD4DA6">
            <w:pPr>
              <w:pStyle w:val="normala07960b0-82ff-4759-af0e-8c7884c81f6e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:rsidR="00CD4DA6" w:rsidRPr="00E114CD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CD4DA6" w:rsidRPr="00CD4DA6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D4DA6">
              <w:rPr>
                <w:b/>
                <w:sz w:val="20"/>
                <w:szCs w:val="20"/>
              </w:rPr>
              <w:t>277-280</w:t>
            </w:r>
          </w:p>
        </w:tc>
      </w:tr>
      <w:tr w:rsidR="00CD4DA6" w:rsidRPr="001555D4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DA6" w:rsidRPr="00AE1E8F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E1E8F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7483" w:type="dxa"/>
            <w:vAlign w:val="center"/>
          </w:tcPr>
          <w:p w:rsidR="00CD4DA6" w:rsidRPr="00E114CD" w:rsidRDefault="00CD4DA6" w:rsidP="00CD4DA6">
            <w:pPr>
              <w:jc w:val="both"/>
              <w:rPr>
                <w:sz w:val="20"/>
                <w:szCs w:val="20"/>
              </w:rPr>
            </w:pPr>
            <w:r w:rsidRPr="00E114CD">
              <w:rPr>
                <w:b/>
                <w:bCs/>
                <w:sz w:val="20"/>
                <w:szCs w:val="20"/>
              </w:rPr>
              <w:t>Transformational Leadership Role of Principals in Implementing Informational and Communication Technologies in Schools</w:t>
            </w:r>
          </w:p>
          <w:p w:rsidR="00CD4DA6" w:rsidRPr="00E114CD" w:rsidRDefault="00CD4DA6" w:rsidP="00CD4DA6">
            <w:pPr>
              <w:jc w:val="both"/>
              <w:rPr>
                <w:sz w:val="20"/>
                <w:szCs w:val="20"/>
              </w:rPr>
            </w:pPr>
            <w:r w:rsidRPr="00E114CD">
              <w:rPr>
                <w:sz w:val="20"/>
                <w:szCs w:val="20"/>
              </w:rPr>
              <w:t>Mojgan Afshari, Simin Ghavifekr , Saedah Siraj and</w:t>
            </w:r>
            <w:r w:rsidRPr="00E114CD">
              <w:rPr>
                <w:rStyle w:val="ae"/>
                <w:b w:val="0"/>
                <w:bCs w:val="0"/>
                <w:sz w:val="20"/>
                <w:szCs w:val="20"/>
              </w:rPr>
              <w:t>Rahmad Sukor Ab. Samad</w:t>
            </w:r>
          </w:p>
          <w:p w:rsidR="00CD4DA6" w:rsidRPr="00E114CD" w:rsidRDefault="00CD4DA6" w:rsidP="00CD4DA6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D4DA6" w:rsidRPr="00E114CD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CD4DA6" w:rsidRPr="00CD4DA6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D4DA6">
              <w:rPr>
                <w:b/>
                <w:sz w:val="20"/>
                <w:szCs w:val="20"/>
              </w:rPr>
              <w:t>281-284</w:t>
            </w:r>
          </w:p>
        </w:tc>
      </w:tr>
      <w:tr w:rsidR="00CD4DA6" w:rsidRPr="001555D4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DA6" w:rsidRPr="00AE1E8F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E1E8F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7483" w:type="dxa"/>
            <w:vAlign w:val="center"/>
          </w:tcPr>
          <w:p w:rsidR="00CD4DA6" w:rsidRPr="00E114CD" w:rsidRDefault="00CD4DA6" w:rsidP="00CD4DA6">
            <w:pPr>
              <w:jc w:val="both"/>
              <w:rPr>
                <w:sz w:val="20"/>
                <w:szCs w:val="20"/>
              </w:rPr>
            </w:pPr>
            <w:r w:rsidRPr="00E114CD">
              <w:rPr>
                <w:b/>
                <w:bCs/>
                <w:sz w:val="20"/>
                <w:szCs w:val="20"/>
              </w:rPr>
              <w:t>Effect of the Strengthened Ribs in Hybrid Toughened Kenaf/ Glass Epoxy Composite Bumper Beam</w:t>
            </w:r>
          </w:p>
          <w:p w:rsidR="00CD4DA6" w:rsidRPr="00E114CD" w:rsidRDefault="00CD4DA6" w:rsidP="00CD4DA6">
            <w:pPr>
              <w:jc w:val="both"/>
              <w:rPr>
                <w:sz w:val="20"/>
                <w:szCs w:val="20"/>
              </w:rPr>
            </w:pPr>
            <w:r w:rsidRPr="00E114CD">
              <w:rPr>
                <w:sz w:val="20"/>
                <w:szCs w:val="20"/>
              </w:rPr>
              <w:t>M.M. Davoodi, S.M. Sapuan, Aidy Ali, D. Ahmad</w:t>
            </w:r>
          </w:p>
          <w:p w:rsidR="00CD4DA6" w:rsidRPr="00E114CD" w:rsidRDefault="00CD4DA6" w:rsidP="00CD4D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D4DA6" w:rsidRPr="00E114CD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CD4DA6" w:rsidRPr="00CD4DA6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D4DA6">
              <w:rPr>
                <w:b/>
                <w:sz w:val="20"/>
                <w:szCs w:val="20"/>
              </w:rPr>
              <w:t>285-289</w:t>
            </w:r>
          </w:p>
        </w:tc>
      </w:tr>
      <w:tr w:rsidR="00CD4DA6" w:rsidRPr="001555D4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DA6" w:rsidRPr="00AE1E8F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E1E8F"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7483" w:type="dxa"/>
            <w:vAlign w:val="center"/>
          </w:tcPr>
          <w:p w:rsidR="00CD4DA6" w:rsidRPr="00E114CD" w:rsidRDefault="00CD4DA6" w:rsidP="00CD4DA6">
            <w:pPr>
              <w:jc w:val="both"/>
              <w:rPr>
                <w:sz w:val="20"/>
                <w:szCs w:val="20"/>
              </w:rPr>
            </w:pPr>
            <w:r w:rsidRPr="00E114CD">
              <w:rPr>
                <w:b/>
                <w:bCs/>
                <w:sz w:val="20"/>
                <w:szCs w:val="20"/>
              </w:rPr>
              <w:t>Investigation of the Structural and Optical Properties of Bismuth Telluride (Bi</w:t>
            </w:r>
            <w:r w:rsidRPr="00E114CD">
              <w:rPr>
                <w:b/>
                <w:bCs/>
                <w:sz w:val="20"/>
                <w:szCs w:val="20"/>
                <w:vertAlign w:val="subscript"/>
              </w:rPr>
              <w:t>2</w:t>
            </w:r>
            <w:r w:rsidRPr="00E114CD">
              <w:rPr>
                <w:b/>
                <w:bCs/>
                <w:sz w:val="20"/>
                <w:szCs w:val="20"/>
              </w:rPr>
              <w:t>Te</w:t>
            </w:r>
            <w:r w:rsidRPr="00E114CD">
              <w:rPr>
                <w:b/>
                <w:bCs/>
                <w:sz w:val="20"/>
                <w:szCs w:val="20"/>
                <w:vertAlign w:val="subscript"/>
              </w:rPr>
              <w:t>3</w:t>
            </w:r>
            <w:r w:rsidRPr="00E114CD">
              <w:rPr>
                <w:b/>
                <w:bCs/>
                <w:sz w:val="20"/>
                <w:szCs w:val="20"/>
              </w:rPr>
              <w:t>) Thin Films</w:t>
            </w:r>
          </w:p>
          <w:p w:rsidR="00CD4DA6" w:rsidRPr="00E114CD" w:rsidRDefault="00CD4DA6" w:rsidP="00CD4DA6">
            <w:pPr>
              <w:jc w:val="both"/>
              <w:rPr>
                <w:sz w:val="20"/>
                <w:szCs w:val="20"/>
              </w:rPr>
            </w:pPr>
            <w:r w:rsidRPr="00E114CD">
              <w:rPr>
                <w:bCs/>
                <w:sz w:val="20"/>
                <w:szCs w:val="20"/>
              </w:rPr>
              <w:t>F. S. Bahabri</w:t>
            </w:r>
          </w:p>
          <w:p w:rsidR="00CD4DA6" w:rsidRPr="00E114CD" w:rsidRDefault="00CD4DA6" w:rsidP="00CD4DA6">
            <w:pPr>
              <w:pStyle w:val="2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D4DA6" w:rsidRPr="00E114CD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CD4DA6" w:rsidRPr="00CD4DA6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D4DA6">
              <w:rPr>
                <w:b/>
                <w:sz w:val="20"/>
                <w:szCs w:val="20"/>
              </w:rPr>
              <w:t>290-294</w:t>
            </w:r>
          </w:p>
        </w:tc>
      </w:tr>
      <w:tr w:rsidR="00CD4DA6" w:rsidRPr="001555D4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DA6" w:rsidRPr="00AE1E8F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E1E8F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7483" w:type="dxa"/>
            <w:vAlign w:val="center"/>
          </w:tcPr>
          <w:p w:rsidR="00CD4DA6" w:rsidRPr="00E114CD" w:rsidRDefault="00CD4DA6" w:rsidP="00CD4DA6">
            <w:pPr>
              <w:keepNext/>
              <w:jc w:val="both"/>
              <w:rPr>
                <w:sz w:val="20"/>
                <w:szCs w:val="20"/>
              </w:rPr>
            </w:pPr>
            <w:r w:rsidRPr="00E114CD">
              <w:rPr>
                <w:b/>
                <w:bCs/>
                <w:sz w:val="20"/>
                <w:szCs w:val="20"/>
              </w:rPr>
              <w:t>Molecular characterization of</w:t>
            </w:r>
            <w:r w:rsidRPr="00E114CD">
              <w:rPr>
                <w:b/>
                <w:bCs/>
                <w:i/>
                <w:iCs/>
                <w:sz w:val="20"/>
                <w:szCs w:val="20"/>
              </w:rPr>
              <w:t>Cotugnia polycantha</w:t>
            </w:r>
            <w:r w:rsidRPr="00E114CD">
              <w:rPr>
                <w:b/>
                <w:bCs/>
                <w:sz w:val="20"/>
                <w:szCs w:val="20"/>
              </w:rPr>
              <w:t>(Cestoda, Cyclophyllidea, Davaineidae) infecting doves (</w:t>
            </w:r>
            <w:r w:rsidRPr="00E114CD">
              <w:rPr>
                <w:b/>
                <w:bCs/>
                <w:i/>
                <w:iCs/>
                <w:sz w:val="20"/>
                <w:szCs w:val="20"/>
              </w:rPr>
              <w:t>Streptopelia senegalensis</w:t>
            </w:r>
            <w:r w:rsidRPr="00E114CD">
              <w:rPr>
                <w:b/>
                <w:bCs/>
                <w:sz w:val="20"/>
                <w:szCs w:val="20"/>
              </w:rPr>
              <w:t>) and pigeons (</w:t>
            </w:r>
            <w:r w:rsidRPr="00E114CD">
              <w:rPr>
                <w:b/>
                <w:bCs/>
                <w:i/>
                <w:iCs/>
                <w:sz w:val="20"/>
                <w:szCs w:val="20"/>
              </w:rPr>
              <w:t>Columba livia Domestica</w:t>
            </w:r>
            <w:r w:rsidRPr="00E114CD">
              <w:rPr>
                <w:b/>
                <w:bCs/>
                <w:sz w:val="20"/>
                <w:szCs w:val="20"/>
              </w:rPr>
              <w:t>) from Egypt</w:t>
            </w:r>
          </w:p>
          <w:p w:rsidR="00CD4DA6" w:rsidRPr="00E114CD" w:rsidRDefault="00CD4DA6" w:rsidP="00CD4DA6">
            <w:pPr>
              <w:keepNext/>
              <w:jc w:val="both"/>
              <w:rPr>
                <w:sz w:val="20"/>
                <w:szCs w:val="20"/>
              </w:rPr>
            </w:pPr>
            <w:r w:rsidRPr="00E114CD">
              <w:rPr>
                <w:sz w:val="20"/>
                <w:szCs w:val="20"/>
              </w:rPr>
              <w:t>Sabry E. Ahmed</w:t>
            </w:r>
          </w:p>
          <w:p w:rsidR="00CD4DA6" w:rsidRPr="00E114CD" w:rsidRDefault="00CD4DA6" w:rsidP="00CD4DA6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D4DA6" w:rsidRPr="00E114CD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CD4DA6" w:rsidRPr="00CD4DA6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D4DA6">
              <w:rPr>
                <w:b/>
                <w:sz w:val="20"/>
                <w:szCs w:val="20"/>
              </w:rPr>
              <w:t>295-301</w:t>
            </w:r>
          </w:p>
        </w:tc>
      </w:tr>
      <w:tr w:rsidR="00CD4DA6" w:rsidRPr="001555D4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DA6" w:rsidRPr="00AE1E8F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E1E8F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7483" w:type="dxa"/>
            <w:vAlign w:val="center"/>
          </w:tcPr>
          <w:p w:rsidR="00CD4DA6" w:rsidRPr="00E114CD" w:rsidRDefault="00CD4DA6" w:rsidP="00CD4DA6">
            <w:pPr>
              <w:jc w:val="both"/>
              <w:rPr>
                <w:sz w:val="20"/>
                <w:szCs w:val="20"/>
              </w:rPr>
            </w:pPr>
            <w:r w:rsidRPr="00E114CD">
              <w:rPr>
                <w:b/>
                <w:bCs/>
                <w:sz w:val="20"/>
                <w:szCs w:val="20"/>
              </w:rPr>
              <w:t>Risk Factors for the Development of Ventilator – Associated Pneumonia in Critically-Ill Neonates</w:t>
            </w:r>
          </w:p>
          <w:p w:rsidR="00CD4DA6" w:rsidRPr="00E114CD" w:rsidRDefault="00CD4DA6" w:rsidP="00CD4DA6">
            <w:pPr>
              <w:jc w:val="both"/>
              <w:rPr>
                <w:sz w:val="20"/>
                <w:szCs w:val="20"/>
              </w:rPr>
            </w:pPr>
            <w:r w:rsidRPr="00E114CD">
              <w:rPr>
                <w:sz w:val="20"/>
                <w:szCs w:val="20"/>
              </w:rPr>
              <w:t>Mona Afify, Salha AI-Zahrani and Maha A Nouh</w:t>
            </w:r>
          </w:p>
          <w:p w:rsidR="00CD4DA6" w:rsidRPr="00E114CD" w:rsidRDefault="00CD4DA6" w:rsidP="00CD4DA6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D4DA6" w:rsidRPr="00E114CD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CD4DA6" w:rsidRPr="00CD4DA6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D4DA6">
              <w:rPr>
                <w:b/>
                <w:sz w:val="20"/>
                <w:szCs w:val="20"/>
              </w:rPr>
              <w:t>302-307</w:t>
            </w:r>
          </w:p>
        </w:tc>
      </w:tr>
    </w:tbl>
    <w:p w:rsidR="00DC5C93" w:rsidRPr="00DC5C93" w:rsidRDefault="00DC5C93" w:rsidP="00DC5C93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"/>
          <w:szCs w:val="2"/>
        </w:rPr>
      </w:pPr>
    </w:p>
    <w:sectPr w:rsidR="00DC5C93" w:rsidRPr="00DC5C93" w:rsidSect="00E54245">
      <w:footerReference w:type="default" r:id="rId7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A65" w:rsidRDefault="00425A65" w:rsidP="009A14FB">
      <w:r>
        <w:separator/>
      </w:r>
    </w:p>
  </w:endnote>
  <w:endnote w:type="continuationSeparator" w:id="1">
    <w:p w:rsidR="00425A65" w:rsidRDefault="00425A65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CD4DA6" w:rsidRDefault="00113287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CD4DA6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B211CF" w:rsidRPr="00B211CF">
          <w:rPr>
            <w:noProof/>
            <w:sz w:val="20"/>
            <w:szCs w:val="20"/>
            <w:lang w:val="zh-CN"/>
          </w:rPr>
          <w:t>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A65" w:rsidRDefault="00425A65" w:rsidP="009A14FB">
      <w:r>
        <w:separator/>
      </w:r>
    </w:p>
  </w:footnote>
  <w:footnote w:type="continuationSeparator" w:id="1">
    <w:p w:rsidR="00425A65" w:rsidRDefault="00425A65" w:rsidP="009A14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319AE"/>
    <w:rsid w:val="000469AA"/>
    <w:rsid w:val="00082684"/>
    <w:rsid w:val="000E0E33"/>
    <w:rsid w:val="000F2277"/>
    <w:rsid w:val="00113287"/>
    <w:rsid w:val="00117800"/>
    <w:rsid w:val="001201FB"/>
    <w:rsid w:val="001555D4"/>
    <w:rsid w:val="00160DCA"/>
    <w:rsid w:val="001A44B6"/>
    <w:rsid w:val="001C26DF"/>
    <w:rsid w:val="001E4DE4"/>
    <w:rsid w:val="0029705B"/>
    <w:rsid w:val="002A0A7D"/>
    <w:rsid w:val="002E53EC"/>
    <w:rsid w:val="003147A0"/>
    <w:rsid w:val="0031650B"/>
    <w:rsid w:val="003206E9"/>
    <w:rsid w:val="0033787A"/>
    <w:rsid w:val="00364308"/>
    <w:rsid w:val="0036529D"/>
    <w:rsid w:val="003C4520"/>
    <w:rsid w:val="00425062"/>
    <w:rsid w:val="00425A65"/>
    <w:rsid w:val="004B6A93"/>
    <w:rsid w:val="004D5F76"/>
    <w:rsid w:val="004E7A47"/>
    <w:rsid w:val="00524260"/>
    <w:rsid w:val="00552747"/>
    <w:rsid w:val="00553204"/>
    <w:rsid w:val="005B2956"/>
    <w:rsid w:val="00615A2B"/>
    <w:rsid w:val="00651B37"/>
    <w:rsid w:val="006C33BB"/>
    <w:rsid w:val="00705B31"/>
    <w:rsid w:val="00720AC2"/>
    <w:rsid w:val="00767C0C"/>
    <w:rsid w:val="007B3C6E"/>
    <w:rsid w:val="007D2283"/>
    <w:rsid w:val="0082694E"/>
    <w:rsid w:val="00863C43"/>
    <w:rsid w:val="008773D5"/>
    <w:rsid w:val="00895E15"/>
    <w:rsid w:val="00897778"/>
    <w:rsid w:val="008B3DB7"/>
    <w:rsid w:val="008E0C81"/>
    <w:rsid w:val="00916260"/>
    <w:rsid w:val="009330BF"/>
    <w:rsid w:val="009842CB"/>
    <w:rsid w:val="009A14FB"/>
    <w:rsid w:val="009A6F1D"/>
    <w:rsid w:val="009D65D2"/>
    <w:rsid w:val="009D7DBA"/>
    <w:rsid w:val="00A44D55"/>
    <w:rsid w:val="00A452DC"/>
    <w:rsid w:val="00A83355"/>
    <w:rsid w:val="00AE1E8F"/>
    <w:rsid w:val="00AF7216"/>
    <w:rsid w:val="00B0043A"/>
    <w:rsid w:val="00B1678F"/>
    <w:rsid w:val="00B211CF"/>
    <w:rsid w:val="00B34E1C"/>
    <w:rsid w:val="00B43075"/>
    <w:rsid w:val="00B954F7"/>
    <w:rsid w:val="00BB2243"/>
    <w:rsid w:val="00C03DB0"/>
    <w:rsid w:val="00C46B73"/>
    <w:rsid w:val="00C75EA1"/>
    <w:rsid w:val="00CD4DA6"/>
    <w:rsid w:val="00D22A78"/>
    <w:rsid w:val="00DC30E8"/>
    <w:rsid w:val="00DC5C93"/>
    <w:rsid w:val="00DD6664"/>
    <w:rsid w:val="00E54245"/>
    <w:rsid w:val="00E711E2"/>
    <w:rsid w:val="00E76183"/>
    <w:rsid w:val="00F007AA"/>
    <w:rsid w:val="00FD3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uiPriority w:val="9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uiPriority w:val="9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uiPriority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uiPriority w:val="99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uiPriority w:val="99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uiPriority w:val="99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uiPriority w:val="99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uiPriority w:val="99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uiPriority w:val="99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nospacing">
    <w:name w:val="nospacing"/>
    <w:basedOn w:val="a"/>
    <w:rsid w:val="00CD4DA6"/>
    <w:pPr>
      <w:spacing w:before="100" w:beforeAutospacing="1" w:after="100" w:afterAutospacing="1"/>
    </w:pPr>
    <w:rPr>
      <w:rFonts w:ascii="宋体" w:hAnsi="宋体" w:cs="宋体"/>
    </w:rPr>
  </w:style>
  <w:style w:type="paragraph" w:customStyle="1" w:styleId="nospacing0">
    <w:name w:val="nospacing0"/>
    <w:basedOn w:val="a"/>
    <w:rsid w:val="00CD4DA6"/>
    <w:pPr>
      <w:spacing w:before="100" w:beforeAutospacing="1" w:after="100" w:afterAutospacing="1"/>
    </w:pPr>
    <w:rPr>
      <w:rFonts w:ascii="宋体" w:hAnsi="宋体" w:cs="宋体"/>
    </w:rPr>
  </w:style>
  <w:style w:type="paragraph" w:customStyle="1" w:styleId="normala07960b0-82ff-4759-af0e-8c7884c81f6e">
    <w:name w:val="normala07960b0-82ff-4759-af0e-8c7884c81f6e"/>
    <w:basedOn w:val="a"/>
    <w:rsid w:val="00CD4DA6"/>
    <w:pPr>
      <w:spacing w:before="100" w:beforeAutospacing="1" w:after="100" w:afterAutospacing="1"/>
    </w:pPr>
    <w:rPr>
      <w:rFonts w:ascii="宋体" w:hAnsi="宋体" w:cs="宋体"/>
    </w:rPr>
  </w:style>
  <w:style w:type="character" w:customStyle="1" w:styleId="ramadan">
    <w:name w:val="ramadan"/>
    <w:basedOn w:val="a0"/>
    <w:rsid w:val="00CD4DA6"/>
  </w:style>
  <w:style w:type="character" w:customStyle="1" w:styleId="mtequationsection">
    <w:name w:val="mtequationsection"/>
    <w:basedOn w:val="a0"/>
    <w:rsid w:val="00CD4DA6"/>
  </w:style>
  <w:style w:type="character" w:customStyle="1" w:styleId="table-title2">
    <w:name w:val="table-title2"/>
    <w:basedOn w:val="a0"/>
    <w:rsid w:val="00CD4D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539</Words>
  <Characters>3078</Characters>
  <Application>Microsoft Office Word</Application>
  <DocSecurity>0</DocSecurity>
  <Lines>25</Lines>
  <Paragraphs>7</Paragraphs>
  <ScaleCrop>false</ScaleCrop>
  <Company>微软中国</Company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dcterms:created xsi:type="dcterms:W3CDTF">2013-02-14T03:59:00Z</dcterms:created>
  <dcterms:modified xsi:type="dcterms:W3CDTF">2013-02-14T04:16:00Z</dcterms:modified>
</cp:coreProperties>
</file>