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B7208C" w:rsidRPr="001555D4" w:rsidTr="00B720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7200" w:type="dxa"/>
            <w:vAlign w:val="center"/>
          </w:tcPr>
          <w:p w:rsidR="00B7208C" w:rsidRPr="004F41BA" w:rsidRDefault="00B7208C" w:rsidP="00B7208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Prognostic Markers in Pediatric T-cell Lymphoblastic Leukemia/Lymphoma</w:t>
            </w:r>
          </w:p>
          <w:p w:rsidR="00B7208C" w:rsidRPr="004F41BA" w:rsidRDefault="00B7208C" w:rsidP="00B7208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sz w:val="20"/>
                <w:szCs w:val="20"/>
              </w:rPr>
              <w:t> Mohamed HM Hussein, Alaa M El-Haddad, Heba S Moussa and  Ossama M Maher</w:t>
            </w:r>
          </w:p>
          <w:p w:rsidR="00B7208C" w:rsidRPr="004F41BA" w:rsidRDefault="00B7208C" w:rsidP="00B7208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1804-1813</w:t>
            </w:r>
          </w:p>
        </w:tc>
      </w:tr>
      <w:tr w:rsidR="00B7208C" w:rsidRPr="001555D4" w:rsidTr="00B720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261</w:t>
            </w:r>
          </w:p>
        </w:tc>
        <w:tc>
          <w:tcPr>
            <w:tcW w:w="7200" w:type="dxa"/>
            <w:vAlign w:val="center"/>
          </w:tcPr>
          <w:p w:rsidR="00B7208C" w:rsidRPr="004F41BA" w:rsidRDefault="00B7208C" w:rsidP="00B7208C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Sex Hormone-Binding Globulin and Insulin Resistance In Type 2 Diabetes Mellitus</w:t>
            </w:r>
          </w:p>
          <w:p w:rsidR="00B7208C" w:rsidRPr="004F41BA" w:rsidRDefault="00B7208C" w:rsidP="00B7208C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F41BA">
              <w:rPr>
                <w:sz w:val="20"/>
                <w:szCs w:val="20"/>
              </w:rPr>
              <w:t> </w:t>
            </w:r>
            <w:r w:rsidRPr="004F41BA">
              <w:rPr>
                <w:spacing w:val="-1"/>
                <w:sz w:val="20"/>
                <w:szCs w:val="20"/>
              </w:rPr>
              <w:t>Hatem M. Salem, Khaled M. Hadhoud, Mohamed S. S. Saad,</w:t>
            </w:r>
            <w:r w:rsidRPr="004F41BA">
              <w:rPr>
                <w:rStyle w:val="apple-converted-space"/>
                <w:spacing w:val="-1"/>
                <w:sz w:val="20"/>
                <w:szCs w:val="20"/>
                <w:vertAlign w:val="superscript"/>
              </w:rPr>
              <w:t> </w:t>
            </w:r>
            <w:r w:rsidRPr="004F41BA">
              <w:rPr>
                <w:spacing w:val="-1"/>
                <w:sz w:val="20"/>
                <w:szCs w:val="20"/>
              </w:rPr>
              <w:t>and Ahmad Baraka</w:t>
            </w:r>
          </w:p>
          <w:p w:rsidR="00B7208C" w:rsidRPr="004F41BA" w:rsidRDefault="00B7208C" w:rsidP="00B7208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1814-1820</w:t>
            </w:r>
          </w:p>
        </w:tc>
      </w:tr>
      <w:tr w:rsidR="00B7208C" w:rsidRPr="001555D4" w:rsidTr="00B720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262</w:t>
            </w:r>
          </w:p>
        </w:tc>
        <w:tc>
          <w:tcPr>
            <w:tcW w:w="7200" w:type="dxa"/>
            <w:vAlign w:val="center"/>
          </w:tcPr>
          <w:p w:rsidR="00B7208C" w:rsidRPr="004F41BA" w:rsidRDefault="00B7208C" w:rsidP="00B7208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Control the post harvest infection by</w:t>
            </w:r>
            <w:r w:rsidRPr="004F4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F41BA">
              <w:rPr>
                <w:b/>
                <w:bCs/>
                <w:i/>
                <w:iCs/>
                <w:sz w:val="20"/>
                <w:szCs w:val="20"/>
              </w:rPr>
              <w:t>Aspergillus</w:t>
            </w:r>
            <w:r w:rsidRPr="004F4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F41BA">
              <w:rPr>
                <w:b/>
                <w:bCs/>
                <w:sz w:val="20"/>
                <w:szCs w:val="20"/>
              </w:rPr>
              <w:t>spp. to Taify table grape using grape epiphytic bacteria</w:t>
            </w:r>
          </w:p>
          <w:p w:rsidR="00B7208C" w:rsidRPr="004F41BA" w:rsidRDefault="00B7208C" w:rsidP="00B7208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El-Shanshoury AR, Bazaid</w:t>
            </w:r>
            <w:r w:rsidRPr="004F41BA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4F41BA">
              <w:rPr>
                <w:sz w:val="20"/>
                <w:szCs w:val="20"/>
              </w:rPr>
              <w:t>SA, El-Halmouch</w:t>
            </w:r>
            <w:r w:rsidRPr="004F41BA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4F41BA">
              <w:rPr>
                <w:sz w:val="20"/>
                <w:szCs w:val="20"/>
              </w:rPr>
              <w:t>Y,</w:t>
            </w:r>
            <w:r w:rsidRPr="004F41BA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4F41BA">
              <w:rPr>
                <w:sz w:val="20"/>
                <w:szCs w:val="20"/>
              </w:rPr>
              <w:t>Ghafar</w:t>
            </w:r>
            <w:r w:rsidRPr="004F41BA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4F41BA">
              <w:rPr>
                <w:sz w:val="20"/>
                <w:szCs w:val="20"/>
                <w:vertAlign w:val="superscript"/>
              </w:rPr>
              <w:t> </w:t>
            </w:r>
            <w:r w:rsidRPr="004F41BA">
              <w:rPr>
                <w:sz w:val="20"/>
                <w:szCs w:val="20"/>
              </w:rPr>
              <w:t>M</w:t>
            </w:r>
          </w:p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1821-1636</w:t>
            </w:r>
          </w:p>
        </w:tc>
      </w:tr>
      <w:tr w:rsidR="00B7208C" w:rsidRPr="001555D4" w:rsidTr="00B720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263</w:t>
            </w:r>
          </w:p>
        </w:tc>
        <w:tc>
          <w:tcPr>
            <w:tcW w:w="7200" w:type="dxa"/>
            <w:vAlign w:val="center"/>
          </w:tcPr>
          <w:p w:rsidR="00B7208C" w:rsidRPr="004F41BA" w:rsidRDefault="00B7208C" w:rsidP="00B7208C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Subependymal Giant Cell Astrocytomas in the Western Region of Saudi Arabia; A Clinicopathological Experience</w:t>
            </w:r>
          </w:p>
          <w:p w:rsidR="00B7208C" w:rsidRPr="004F41BA" w:rsidRDefault="00B7208C" w:rsidP="00B7208C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Jaudah A. Al-Maghrabi and Saleh S. Baeesa</w:t>
            </w:r>
          </w:p>
          <w:p w:rsidR="00B7208C" w:rsidRPr="004F41BA" w:rsidRDefault="00B7208C" w:rsidP="00B7208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1837-1844</w:t>
            </w:r>
          </w:p>
        </w:tc>
      </w:tr>
      <w:tr w:rsidR="00B7208C" w:rsidRPr="001555D4" w:rsidTr="00B720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264</w:t>
            </w:r>
          </w:p>
        </w:tc>
        <w:tc>
          <w:tcPr>
            <w:tcW w:w="7200" w:type="dxa"/>
            <w:vAlign w:val="center"/>
          </w:tcPr>
          <w:p w:rsidR="00B7208C" w:rsidRPr="004F41BA" w:rsidRDefault="00B7208C" w:rsidP="00B7208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Mitigation of Carbon Dioxide Emissions in a Warming System for Chicks by Using Solar Energy</w:t>
            </w:r>
          </w:p>
          <w:p w:rsidR="00B7208C" w:rsidRPr="004F41BA" w:rsidRDefault="00B7208C" w:rsidP="00B7208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Wei-Cheng Chen and Chung-Teh Sheng</w:t>
            </w:r>
          </w:p>
          <w:p w:rsidR="00B7208C" w:rsidRPr="004F41BA" w:rsidRDefault="00B7208C" w:rsidP="00B7208C">
            <w:pPr>
              <w:pStyle w:val="author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1845-1850</w:t>
            </w:r>
          </w:p>
        </w:tc>
      </w:tr>
      <w:tr w:rsidR="00B7208C" w:rsidRPr="001555D4" w:rsidTr="00B720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265</w:t>
            </w:r>
          </w:p>
        </w:tc>
        <w:tc>
          <w:tcPr>
            <w:tcW w:w="7200" w:type="dxa"/>
            <w:vAlign w:val="center"/>
          </w:tcPr>
          <w:p w:rsidR="00B7208C" w:rsidRPr="004F41BA" w:rsidRDefault="00B7208C" w:rsidP="00B7208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Superoxide Dismutase, Glutathione Peroxidase and Vitamin E in Patients with Diabetic Retinopathy</w:t>
            </w:r>
          </w:p>
          <w:p w:rsidR="00B7208C" w:rsidRPr="004F41BA" w:rsidRDefault="00B7208C" w:rsidP="00B7208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  <w:lang w:val="es-ES_tradnl"/>
              </w:rPr>
              <w:t> </w:t>
            </w:r>
            <w:r w:rsidRPr="004F41BA">
              <w:rPr>
                <w:sz w:val="20"/>
                <w:szCs w:val="20"/>
              </w:rPr>
              <w:t>Nagwa S. Said, Khaled M. Hadhoud, Waled M. Nada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and Shereen A. El Tarhouny</w:t>
            </w:r>
          </w:p>
          <w:p w:rsidR="00B7208C" w:rsidRPr="004F41BA" w:rsidRDefault="00B7208C" w:rsidP="00B7208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1851-1856</w:t>
            </w:r>
          </w:p>
        </w:tc>
      </w:tr>
      <w:tr w:rsidR="00B7208C" w:rsidRPr="001555D4" w:rsidTr="00B720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266</w:t>
            </w:r>
          </w:p>
        </w:tc>
        <w:tc>
          <w:tcPr>
            <w:tcW w:w="7200" w:type="dxa"/>
            <w:vAlign w:val="center"/>
          </w:tcPr>
          <w:p w:rsidR="00B7208C" w:rsidRPr="004F41BA" w:rsidRDefault="00B7208C" w:rsidP="00B7208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Short Time Effect of Cadmium on</w:t>
            </w:r>
            <w:r w:rsidRPr="004F4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F41BA">
              <w:rPr>
                <w:b/>
                <w:bCs/>
                <w:sz w:val="20"/>
                <w:szCs w:val="20"/>
              </w:rPr>
              <w:t>Juveniles and Adults of Java Medaka</w:t>
            </w:r>
            <w:r w:rsidRPr="004F4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F41BA">
              <w:rPr>
                <w:b/>
                <w:bCs/>
                <w:i/>
                <w:iCs/>
                <w:sz w:val="20"/>
                <w:szCs w:val="20"/>
              </w:rPr>
              <w:t>(Oryzias javanicus)</w:t>
            </w:r>
            <w:r w:rsidRPr="004F41BA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4F41BA">
              <w:rPr>
                <w:b/>
                <w:bCs/>
                <w:sz w:val="20"/>
                <w:szCs w:val="20"/>
              </w:rPr>
              <w:t>Fish</w:t>
            </w:r>
            <w:r w:rsidRPr="004F41BA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4F41BA">
              <w:rPr>
                <w:b/>
                <w:bCs/>
                <w:sz w:val="20"/>
                <w:szCs w:val="20"/>
              </w:rPr>
              <w:t>as a Bioindicator for Ecotoxicological Studies</w:t>
            </w:r>
          </w:p>
          <w:p w:rsidR="00B7208C" w:rsidRPr="004F41BA" w:rsidRDefault="00B7208C" w:rsidP="00B7208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Daryoush Khodadoust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, Ahmad Ismail, Syaizwan Zahmir Zulkifli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,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  <w:lang w:val="en-GB"/>
              </w:rPr>
              <w:t>Farhad Hoseini Tayefeh</w:t>
            </w:r>
          </w:p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1857-1861</w:t>
            </w:r>
          </w:p>
        </w:tc>
      </w:tr>
      <w:tr w:rsidR="00B7208C" w:rsidRPr="001555D4" w:rsidTr="00B720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267</w:t>
            </w:r>
          </w:p>
        </w:tc>
        <w:tc>
          <w:tcPr>
            <w:tcW w:w="7200" w:type="dxa"/>
            <w:vAlign w:val="center"/>
          </w:tcPr>
          <w:p w:rsidR="00B7208C" w:rsidRPr="004F41BA" w:rsidRDefault="00B7208C" w:rsidP="00B7208C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Influence of Different Additives on Cold Recycled Mixes at Environmental Conditions of Pakistan</w:t>
            </w:r>
          </w:p>
          <w:p w:rsidR="00B7208C" w:rsidRPr="004F41BA" w:rsidRDefault="00B7208C" w:rsidP="00B7208C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Kamran Muzaffar Khan, Shiraz Ahmed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, Faizan Ali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, Tahir Sultan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, Kiffayat ullah</w:t>
            </w:r>
          </w:p>
          <w:p w:rsidR="00B7208C" w:rsidRPr="004F41BA" w:rsidRDefault="00B7208C" w:rsidP="00B7208C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1862-1868</w:t>
            </w:r>
          </w:p>
        </w:tc>
      </w:tr>
      <w:tr w:rsidR="00B7208C" w:rsidRPr="001555D4" w:rsidTr="00B720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268</w:t>
            </w:r>
          </w:p>
        </w:tc>
        <w:tc>
          <w:tcPr>
            <w:tcW w:w="7200" w:type="dxa"/>
            <w:vAlign w:val="center"/>
          </w:tcPr>
          <w:p w:rsidR="00B7208C" w:rsidRPr="004F41BA" w:rsidRDefault="00B7208C" w:rsidP="00B7208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Effect of Zinc Oxide Toxicity on African</w:t>
            </w:r>
            <w:r w:rsidRPr="004F41BA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4F41BA">
              <w:rPr>
                <w:b/>
                <w:bCs/>
                <w:sz w:val="20"/>
                <w:szCs w:val="20"/>
              </w:rPr>
              <w:t>Cat Fish</w:t>
            </w:r>
            <w:r w:rsidRPr="004F41BA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4F41BA">
              <w:rPr>
                <w:b/>
                <w:bCs/>
                <w:i/>
                <w:iCs/>
                <w:sz w:val="20"/>
                <w:szCs w:val="20"/>
              </w:rPr>
              <w:t>Clarias gariepinus</w:t>
            </w:r>
            <w:r w:rsidRPr="004F4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F41BA">
              <w:rPr>
                <w:b/>
                <w:bCs/>
                <w:sz w:val="20"/>
                <w:szCs w:val="20"/>
              </w:rPr>
              <w:t>Present in the River Nile (Hawamdya)</w:t>
            </w:r>
          </w:p>
          <w:p w:rsidR="00B7208C" w:rsidRPr="004F41BA" w:rsidRDefault="00B7208C" w:rsidP="00B7208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Mona, S. Zaki, Nabila, Elbattrawy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Nagwa, S. Ata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F41BA">
              <w:rPr>
                <w:sz w:val="20"/>
                <w:szCs w:val="20"/>
              </w:rPr>
              <w:t>and Shalaby S. I</w:t>
            </w:r>
          </w:p>
          <w:p w:rsidR="00B7208C" w:rsidRPr="004F41BA" w:rsidRDefault="00B7208C" w:rsidP="00B7208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1869-1873</w:t>
            </w:r>
          </w:p>
        </w:tc>
      </w:tr>
      <w:tr w:rsidR="00B7208C" w:rsidRPr="001555D4" w:rsidTr="00B720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269</w:t>
            </w:r>
          </w:p>
        </w:tc>
        <w:tc>
          <w:tcPr>
            <w:tcW w:w="7200" w:type="dxa"/>
            <w:vAlign w:val="center"/>
          </w:tcPr>
          <w:p w:rsidR="00B7208C" w:rsidRPr="004F41BA" w:rsidRDefault="00B7208C" w:rsidP="00B7208C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Anti-Inflammatory and Immune Regulatory Effects of</w:t>
            </w:r>
            <w:r w:rsidRPr="004F4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F41BA">
              <w:rPr>
                <w:b/>
                <w:bCs/>
                <w:i/>
                <w:iCs/>
                <w:sz w:val="20"/>
                <w:szCs w:val="20"/>
              </w:rPr>
              <w:t>Salvia officinalis</w:t>
            </w:r>
            <w:r w:rsidRPr="004F41BA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4F41BA">
              <w:rPr>
                <w:b/>
                <w:bCs/>
                <w:sz w:val="20"/>
                <w:szCs w:val="20"/>
              </w:rPr>
              <w:t>Extract on OVA-induced Asthma in Mice</w:t>
            </w:r>
          </w:p>
          <w:p w:rsidR="00B7208C" w:rsidRPr="004F41BA" w:rsidRDefault="00B7208C" w:rsidP="00B7208C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F41BA">
              <w:rPr>
                <w:sz w:val="20"/>
                <w:szCs w:val="20"/>
              </w:rPr>
              <w:t> Abd El-Hamid Mohamed Elwy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and GhadaTabl</w:t>
            </w:r>
          </w:p>
          <w:p w:rsidR="00B7208C" w:rsidRPr="004F41BA" w:rsidRDefault="00B7208C" w:rsidP="00B7208C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1874-1878</w:t>
            </w:r>
          </w:p>
        </w:tc>
      </w:tr>
      <w:tr w:rsidR="00B7208C" w:rsidRPr="001555D4" w:rsidTr="00B720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7200" w:type="dxa"/>
            <w:vAlign w:val="center"/>
          </w:tcPr>
          <w:p w:rsidR="00B7208C" w:rsidRPr="004F41BA" w:rsidRDefault="00B7208C" w:rsidP="00B7208C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Agarose Slide Elisa for Diagnosis of HCV-AB in Rural Areas</w:t>
            </w:r>
          </w:p>
          <w:p w:rsidR="00B7208C" w:rsidRPr="004F41BA" w:rsidRDefault="00B7208C" w:rsidP="00B7208C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F41BA">
              <w:rPr>
                <w:sz w:val="20"/>
                <w:szCs w:val="20"/>
              </w:rPr>
              <w:t> Mohammed M. Safhi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and Hussien A. Abouelhag</w:t>
            </w:r>
          </w:p>
          <w:p w:rsidR="00B7208C" w:rsidRPr="004F41BA" w:rsidRDefault="00B7208C" w:rsidP="00B7208C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1879-1884</w:t>
            </w:r>
          </w:p>
        </w:tc>
      </w:tr>
      <w:tr w:rsidR="00B7208C" w:rsidRPr="001555D4" w:rsidTr="00B720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271</w:t>
            </w:r>
          </w:p>
        </w:tc>
        <w:tc>
          <w:tcPr>
            <w:tcW w:w="7200" w:type="dxa"/>
            <w:vAlign w:val="center"/>
          </w:tcPr>
          <w:p w:rsidR="00B7208C" w:rsidRPr="004F41BA" w:rsidRDefault="00B7208C" w:rsidP="00B7208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The Intake of Red Cabbage Anthocyanines in Ice-cream</w:t>
            </w:r>
          </w:p>
          <w:p w:rsidR="00B7208C" w:rsidRPr="004F41BA" w:rsidRDefault="00B7208C" w:rsidP="00B7208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F41BA">
              <w:rPr>
                <w:sz w:val="20"/>
                <w:szCs w:val="20"/>
              </w:rPr>
              <w:t> Etab Alghamdi</w:t>
            </w:r>
          </w:p>
          <w:p w:rsidR="00B7208C" w:rsidRPr="004F41BA" w:rsidRDefault="00B7208C" w:rsidP="00B7208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1885-1888</w:t>
            </w:r>
          </w:p>
        </w:tc>
      </w:tr>
      <w:tr w:rsidR="00B7208C" w:rsidRPr="001555D4" w:rsidTr="00B720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272</w:t>
            </w:r>
          </w:p>
        </w:tc>
        <w:tc>
          <w:tcPr>
            <w:tcW w:w="7200" w:type="dxa"/>
            <w:vAlign w:val="center"/>
          </w:tcPr>
          <w:p w:rsidR="00B7208C" w:rsidRPr="004F41BA" w:rsidRDefault="00B7208C" w:rsidP="00B7208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Generalized Chan-Vese Model for Image Segmentation with Multiple Regions</w:t>
            </w:r>
          </w:p>
          <w:p w:rsidR="00B7208C" w:rsidRPr="004F41BA" w:rsidRDefault="00B7208C" w:rsidP="00B7208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F41BA">
              <w:rPr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  <w:lang w:val="en-CA"/>
              </w:rPr>
              <w:t>Dang Tran Vu</w:t>
            </w:r>
            <w:r w:rsidRPr="004F41BA">
              <w:rPr>
                <w:sz w:val="20"/>
                <w:szCs w:val="20"/>
              </w:rPr>
              <w:t>, Tran Thi Thu Ha, Min Gyu Song,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  <w:lang w:val="en-CA"/>
              </w:rPr>
              <w:t>Jin Young Kim</w:t>
            </w:r>
            <w:r w:rsidRPr="004F41BA">
              <w:rPr>
                <w:sz w:val="20"/>
                <w:szCs w:val="20"/>
              </w:rPr>
              <w:t>,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  <w:lang w:val="en-CA"/>
              </w:rPr>
              <w:t>Seung Ho Choi</w:t>
            </w:r>
            <w:r w:rsidRPr="004F41BA">
              <w:rPr>
                <w:sz w:val="20"/>
                <w:szCs w:val="20"/>
              </w:rPr>
              <w:t>, Asmatullah Chaudhry</w:t>
            </w:r>
          </w:p>
          <w:p w:rsidR="00B7208C" w:rsidRPr="004F41BA" w:rsidRDefault="00B7208C" w:rsidP="00B7208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1889-1895</w:t>
            </w:r>
          </w:p>
        </w:tc>
      </w:tr>
      <w:tr w:rsidR="00B7208C" w:rsidRPr="001555D4" w:rsidTr="00B720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lastRenderedPageBreak/>
              <w:t>273</w:t>
            </w:r>
          </w:p>
        </w:tc>
        <w:tc>
          <w:tcPr>
            <w:tcW w:w="7200" w:type="dxa"/>
            <w:vAlign w:val="center"/>
          </w:tcPr>
          <w:p w:rsidR="00B7208C" w:rsidRPr="004F41BA" w:rsidRDefault="00B7208C" w:rsidP="00B7208C">
            <w:pPr>
              <w:pStyle w:val="papertitle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bookmarkStart w:id="0" w:name="OLE_LINK956"/>
            <w:r w:rsidRPr="004F41BA">
              <w:rPr>
                <w:b/>
                <w:bCs/>
                <w:sz w:val="20"/>
                <w:szCs w:val="20"/>
              </w:rPr>
              <w:t>A new integrated mathematical model for optimizing facility location and network design policies with facility disruptions</w:t>
            </w:r>
            <w:bookmarkEnd w:id="0"/>
          </w:p>
          <w:p w:rsidR="00B7208C" w:rsidRPr="004F41BA" w:rsidRDefault="00B7208C" w:rsidP="00B7208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pacing w:val="5"/>
                <w:sz w:val="20"/>
                <w:szCs w:val="20"/>
              </w:rPr>
              <w:t>Davood Shishebori</w:t>
            </w:r>
            <w:r w:rsidRPr="004F41BA">
              <w:rPr>
                <w:sz w:val="20"/>
                <w:szCs w:val="20"/>
              </w:rPr>
              <w:t>, Mohammad Saeed Jabalameli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</w:p>
          <w:p w:rsidR="00B7208C" w:rsidRPr="004F41BA" w:rsidRDefault="00B7208C" w:rsidP="00B7208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1896-1906</w:t>
            </w:r>
          </w:p>
        </w:tc>
      </w:tr>
      <w:tr w:rsidR="00B7208C" w:rsidRPr="001555D4" w:rsidTr="00B720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274</w:t>
            </w:r>
          </w:p>
        </w:tc>
        <w:tc>
          <w:tcPr>
            <w:tcW w:w="7200" w:type="dxa"/>
            <w:vAlign w:val="center"/>
          </w:tcPr>
          <w:p w:rsidR="00B7208C" w:rsidRPr="004F41BA" w:rsidRDefault="00B7208C" w:rsidP="00B7208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The Bacterial Colonization with Extended Spectrum β -Lactamase- and Metallo-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b/>
                <w:bCs/>
                <w:sz w:val="20"/>
                <w:szCs w:val="20"/>
              </w:rPr>
              <w:t>β -Lactamase Producing Gram-Negative Bacteria at Intensive Care Unit Patients</w:t>
            </w:r>
          </w:p>
          <w:p w:rsidR="00B7208C" w:rsidRPr="004F41BA" w:rsidRDefault="00B7208C" w:rsidP="00B7208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F41BA">
              <w:rPr>
                <w:sz w:val="20"/>
                <w:szCs w:val="20"/>
              </w:rPr>
              <w:t> Tawfik Abd Motaleb,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  <w:shd w:val="clear" w:color="auto" w:fill="FFFFFF"/>
              </w:rPr>
              <w:t>Mansour I Sayed,</w:t>
            </w:r>
            <w:r w:rsidRPr="004F41BA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4F41BA">
              <w:rPr>
                <w:sz w:val="20"/>
                <w:szCs w:val="20"/>
              </w:rPr>
              <w:t>Mohamed H Attia, Amal Sharnooby, Mohamed</w:t>
            </w:r>
            <w:r w:rsidRPr="004F41BA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4F41BA">
              <w:rPr>
                <w:sz w:val="20"/>
                <w:szCs w:val="20"/>
                <w:shd w:val="clear" w:color="auto" w:fill="FFFFFF"/>
              </w:rPr>
              <w:t>M Farag</w:t>
            </w:r>
            <w:r w:rsidRPr="004F41BA">
              <w:rPr>
                <w:sz w:val="20"/>
                <w:szCs w:val="20"/>
              </w:rPr>
              <w:t>, Maha Sabaawy</w:t>
            </w:r>
          </w:p>
          <w:p w:rsidR="00B7208C" w:rsidRPr="004F41BA" w:rsidRDefault="00B7208C" w:rsidP="00B7208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1907-1914</w:t>
            </w:r>
          </w:p>
        </w:tc>
      </w:tr>
      <w:tr w:rsidR="00B7208C" w:rsidRPr="001555D4" w:rsidTr="00B720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275</w:t>
            </w:r>
          </w:p>
        </w:tc>
        <w:tc>
          <w:tcPr>
            <w:tcW w:w="7200" w:type="dxa"/>
            <w:vAlign w:val="center"/>
          </w:tcPr>
          <w:p w:rsidR="00B7208C" w:rsidRPr="004F41BA" w:rsidRDefault="00B7208C" w:rsidP="00B7208C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Evaluation of Different methods for Diagnosis of Catheter Related Blood Stream Infection</w:t>
            </w:r>
          </w:p>
          <w:p w:rsidR="00B7208C" w:rsidRPr="004F41BA" w:rsidRDefault="00B7208C" w:rsidP="00B7208C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F41BA">
              <w:rPr>
                <w:i/>
                <w:i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Yasser M. Ismail and  Sahar M. Fayed</w:t>
            </w:r>
          </w:p>
          <w:p w:rsidR="00B7208C" w:rsidRPr="004F41BA" w:rsidRDefault="00B7208C" w:rsidP="00B7208C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1915-1923</w:t>
            </w:r>
          </w:p>
        </w:tc>
      </w:tr>
      <w:tr w:rsidR="00B7208C" w:rsidRPr="001555D4" w:rsidTr="00B720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7200" w:type="dxa"/>
            <w:vAlign w:val="center"/>
          </w:tcPr>
          <w:p w:rsidR="00B7208C" w:rsidRPr="004F41BA" w:rsidRDefault="00B7208C" w:rsidP="00B7208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Hepato-protective Effect of Green Tea Extract on Cyclosporine a Treated Rabbits: Histological and Ultrastructural Study</w:t>
            </w:r>
          </w:p>
          <w:p w:rsidR="00B7208C" w:rsidRPr="004F41BA" w:rsidRDefault="00B7208C" w:rsidP="00B7208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sz w:val="20"/>
                <w:szCs w:val="20"/>
              </w:rPr>
              <w:t> Fathy Ahmed Fetouh and Amal Al Shahat</w:t>
            </w:r>
          </w:p>
          <w:p w:rsidR="00B7208C" w:rsidRPr="004F41BA" w:rsidRDefault="00B7208C" w:rsidP="00B7208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1924-1932</w:t>
            </w:r>
          </w:p>
        </w:tc>
      </w:tr>
      <w:tr w:rsidR="00B7208C" w:rsidRPr="001555D4" w:rsidTr="00B720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277</w:t>
            </w:r>
          </w:p>
        </w:tc>
        <w:tc>
          <w:tcPr>
            <w:tcW w:w="7200" w:type="dxa"/>
            <w:vAlign w:val="center"/>
          </w:tcPr>
          <w:p w:rsidR="00B7208C" w:rsidRPr="004F41BA" w:rsidRDefault="00B7208C" w:rsidP="00B7208C">
            <w:pPr>
              <w:pStyle w:val="30"/>
              <w:adjustRightInd w:val="0"/>
              <w:snapToGrid w:val="0"/>
              <w:spacing w:after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Protective Role of Coenzyme Q10 against Paraquat Induced Hepatotoxicity in Male Rats</w:t>
            </w:r>
          </w:p>
          <w:p w:rsidR="00B7208C" w:rsidRPr="004F41BA" w:rsidRDefault="00B7208C" w:rsidP="00B7208C">
            <w:pPr>
              <w:pStyle w:val="30"/>
              <w:adjustRightInd w:val="0"/>
              <w:snapToGrid w:val="0"/>
              <w:spacing w:after="0"/>
              <w:rPr>
                <w:sz w:val="20"/>
                <w:szCs w:val="20"/>
              </w:rPr>
            </w:pPr>
            <w:r w:rsidRPr="004F41BA">
              <w:rPr>
                <w:sz w:val="20"/>
                <w:szCs w:val="20"/>
              </w:rPr>
              <w:t>Elsayed k. Abdel-Hady and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4F41BA">
              <w:rPr>
                <w:sz w:val="20"/>
                <w:szCs w:val="20"/>
              </w:rPr>
              <w:t>Gamal H. Abdel-Rahman</w:t>
            </w:r>
          </w:p>
          <w:p w:rsidR="00B7208C" w:rsidRPr="004F41BA" w:rsidRDefault="00B7208C" w:rsidP="00B7208C">
            <w:pPr>
              <w:pStyle w:val="1"/>
              <w:adjustRightInd w:val="0"/>
              <w:snapToGrid w:val="0"/>
              <w:jc w:val="left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1933-1940</w:t>
            </w:r>
          </w:p>
        </w:tc>
      </w:tr>
      <w:tr w:rsidR="00B7208C" w:rsidRPr="001555D4" w:rsidTr="00B720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7200" w:type="dxa"/>
            <w:vAlign w:val="center"/>
          </w:tcPr>
          <w:p w:rsidR="00B7208C" w:rsidRPr="004F41BA" w:rsidRDefault="00B7208C" w:rsidP="00B7208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Conservative Management of Instrumental Esophageal Perforation in Children; A Review of One surgeon's Experience</w:t>
            </w:r>
          </w:p>
          <w:p w:rsidR="00B7208C" w:rsidRPr="004F41BA" w:rsidRDefault="00B7208C" w:rsidP="00B7208C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Osama M Rayes, FRCSI</w:t>
            </w:r>
          </w:p>
          <w:p w:rsidR="00B7208C" w:rsidRPr="004F41BA" w:rsidRDefault="00B7208C" w:rsidP="00B7208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1941-1944</w:t>
            </w:r>
          </w:p>
        </w:tc>
      </w:tr>
      <w:tr w:rsidR="00B7208C" w:rsidRPr="001555D4" w:rsidTr="00B7208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279</w:t>
            </w:r>
          </w:p>
        </w:tc>
        <w:tc>
          <w:tcPr>
            <w:tcW w:w="7200" w:type="dxa"/>
            <w:vAlign w:val="center"/>
          </w:tcPr>
          <w:p w:rsidR="00B7208C" w:rsidRPr="004F41BA" w:rsidRDefault="00B7208C" w:rsidP="00B7208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Assessment of Methylation of RASSF1A Gene in Circulating Tumor DNA of Breast Cancer Patients by Methylation-Specific Polymerase Chain Reaction</w:t>
            </w:r>
          </w:p>
          <w:p w:rsidR="00B7208C" w:rsidRPr="004F41BA" w:rsidRDefault="00B7208C" w:rsidP="00B7208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Nasser Sadek Rezk, Abeer Al Sayed Shehab, Abeer Ibrahim Abd El-Mageed, Mohamed El-Shinawi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and Mohamed Omar El Maraghy</w:t>
            </w:r>
          </w:p>
          <w:p w:rsidR="00B7208C" w:rsidRPr="004F41BA" w:rsidRDefault="00B7208C" w:rsidP="00B7208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7208C" w:rsidRPr="004F41BA" w:rsidRDefault="00B7208C" w:rsidP="00B7208C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1945-1951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A15" w:rsidRDefault="00E81A15" w:rsidP="009A14FB">
      <w:r>
        <w:separator/>
      </w:r>
    </w:p>
  </w:endnote>
  <w:endnote w:type="continuationSeparator" w:id="1">
    <w:p w:rsidR="00E81A15" w:rsidRDefault="00E81A15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3B60B2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B7208C" w:rsidRPr="00B7208C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A15" w:rsidRDefault="00E81A15" w:rsidP="009A14FB">
      <w:r>
        <w:separator/>
      </w:r>
    </w:p>
  </w:footnote>
  <w:footnote w:type="continuationSeparator" w:id="1">
    <w:p w:rsidR="00E81A15" w:rsidRDefault="00E81A15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B60B2"/>
    <w:rsid w:val="003C4520"/>
    <w:rsid w:val="00425062"/>
    <w:rsid w:val="004B6A93"/>
    <w:rsid w:val="004D5F76"/>
    <w:rsid w:val="004E7A47"/>
    <w:rsid w:val="00524260"/>
    <w:rsid w:val="00552747"/>
    <w:rsid w:val="00553204"/>
    <w:rsid w:val="00615A2B"/>
    <w:rsid w:val="00651B37"/>
    <w:rsid w:val="006C33BB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7208C"/>
    <w:rsid w:val="00B954F7"/>
    <w:rsid w:val="00BB2243"/>
    <w:rsid w:val="00BE5384"/>
    <w:rsid w:val="00C03DB0"/>
    <w:rsid w:val="00C46B73"/>
    <w:rsid w:val="00C75EA1"/>
    <w:rsid w:val="00D22A78"/>
    <w:rsid w:val="00DC5C93"/>
    <w:rsid w:val="00DD6664"/>
    <w:rsid w:val="00E54245"/>
    <w:rsid w:val="00E711E2"/>
    <w:rsid w:val="00E76183"/>
    <w:rsid w:val="00E81A15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3043</Characters>
  <Application>Microsoft Office Word</Application>
  <DocSecurity>0</DocSecurity>
  <Lines>25</Lines>
  <Paragraphs>7</Paragraphs>
  <ScaleCrop>false</ScaleCrop>
  <Company>微软中国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2013-04-19T14:30:00Z</dcterms:created>
  <dcterms:modified xsi:type="dcterms:W3CDTF">2013-04-19T14:30:00Z</dcterms:modified>
</cp:coreProperties>
</file>