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0" w:type="auto"/>
        <w:tblCellSpacing w:w="15" w:type="dxa"/>
        <w:tblInd w:w="0" w:type="dxa"/>
        <w:tblLayout w:type="fixed"/>
        <w:tblLook w:val="04A0"/>
      </w:tblPr>
      <w:tblGrid>
        <w:gridCol w:w="481"/>
        <w:gridCol w:w="7512"/>
        <w:gridCol w:w="426"/>
        <w:gridCol w:w="1146"/>
      </w:tblGrid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Plant growth pattern, tiller dynamics and dry matter accumulation of wetland rice (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Oryza sativa</w:t>
            </w:r>
            <w:r w:rsidRPr="00CA6BA6">
              <w:rPr>
                <w:b/>
                <w:bCs/>
                <w:sz w:val="19"/>
                <w:szCs w:val="19"/>
              </w:rPr>
              <w:t> L.) as influenced by application of different manures</w:t>
            </w:r>
          </w:p>
          <w:p w:rsidR="004C0DDE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Mirza Hasanuzzaman, K. U. Ahamed, K. Nahar</w:t>
            </w:r>
            <w:r w:rsidRPr="00CA6BA6">
              <w:rPr>
                <w:sz w:val="19"/>
                <w:szCs w:val="19"/>
              </w:rPr>
              <w:softHyphen/>
              <w:t>and N. Akhter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1-10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Comparative Study of Seasonal Variation in Physico - Chemical Characteristics in Drinking Water Quality of Kanpur, India With Reference To 200 MLD Filteration Plant and Ground Water</w:t>
            </w:r>
          </w:p>
          <w:p w:rsidR="004C0DDE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Priyanka Trivedi , Amita Bajpai,  Sukarma Thareja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11-17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Response of vermi-compost on Growth and Yield of Pea (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pisum sativum</w:t>
            </w:r>
            <w:r w:rsidRPr="00CA6BA6">
              <w:rPr>
                <w:b/>
                <w:bCs/>
                <w:sz w:val="19"/>
                <w:szCs w:val="19"/>
              </w:rPr>
              <w:t> L.) cv. Arkel</w:t>
            </w:r>
          </w:p>
          <w:p w:rsidR="004C0DDE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Hakim Singh Chauhan, Sunil Chandra Joshi</w:t>
            </w:r>
            <w:r w:rsidR="00E330C1" w:rsidRPr="00CA6BA6">
              <w:rPr>
                <w:rFonts w:hint="eastAsia"/>
                <w:sz w:val="19"/>
                <w:szCs w:val="19"/>
              </w:rPr>
              <w:t xml:space="preserve"> </w:t>
            </w:r>
            <w:r w:rsidRPr="00CA6BA6">
              <w:rPr>
                <w:sz w:val="19"/>
                <w:szCs w:val="19"/>
              </w:rPr>
              <w:t>and D.K. Rana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18-21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In vitro antioxidative acitivity of 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Azadirachta indica</w:t>
            </w:r>
            <w:r w:rsidRPr="00CA6BA6">
              <w:rPr>
                <w:b/>
                <w:bCs/>
                <w:sz w:val="19"/>
                <w:szCs w:val="19"/>
              </w:rPr>
              <w:t> and 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Melia azedarach </w:t>
            </w:r>
            <w:r w:rsidRPr="00CA6BA6">
              <w:rPr>
                <w:b/>
                <w:bCs/>
                <w:sz w:val="19"/>
                <w:szCs w:val="19"/>
              </w:rPr>
              <w:t>Leaves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 </w:t>
            </w:r>
            <w:r w:rsidRPr="00CA6BA6">
              <w:rPr>
                <w:b/>
                <w:bCs/>
                <w:sz w:val="19"/>
                <w:szCs w:val="19"/>
              </w:rPr>
              <w:t>by DPPH scavenging assay</w:t>
            </w:r>
          </w:p>
          <w:p w:rsidR="004C0DDE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 </w:t>
            </w:r>
            <w:r w:rsidRPr="00CA6BA6">
              <w:rPr>
                <w:sz w:val="19"/>
                <w:szCs w:val="19"/>
              </w:rPr>
              <w:t>Gayatri Nahak and Rajani Kanta Sahu</w:t>
            </w:r>
            <w:r w:rsidR="004C0DDE" w:rsidRPr="00CA6BA6">
              <w:rPr>
                <w:sz w:val="19"/>
                <w:szCs w:val="19"/>
              </w:rPr>
              <w:t xml:space="preserve"> 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22-28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color w:val="000000"/>
                <w:sz w:val="19"/>
                <w:szCs w:val="19"/>
              </w:rPr>
              <w:t>Effect of Chromium on </w:t>
            </w:r>
            <w:r w:rsidRPr="00CA6BA6">
              <w:rPr>
                <w:b/>
                <w:bCs/>
                <w:i/>
                <w:iCs/>
                <w:color w:val="000000"/>
                <w:sz w:val="19"/>
                <w:szCs w:val="19"/>
              </w:rPr>
              <w:t>Mucor </w:t>
            </w:r>
            <w:r w:rsidRPr="00CA6BA6">
              <w:rPr>
                <w:b/>
                <w:bCs/>
                <w:color w:val="000000"/>
                <w:sz w:val="19"/>
                <w:szCs w:val="19"/>
              </w:rPr>
              <w:t>species and optimization of growth conditions</w:t>
            </w:r>
          </w:p>
          <w:p w:rsidR="004C0DDE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Bijay Kumar Sethi, Satyajit Kanungo,</w:t>
            </w:r>
            <w:r w:rsidRPr="00CA6BA6">
              <w:rPr>
                <w:sz w:val="19"/>
                <w:szCs w:val="19"/>
                <w:lang w:val="sv-SE"/>
              </w:rPr>
              <w:t> Jyoti Ranjan Rout, Prativa kumari Nanda,</w:t>
            </w:r>
            <w:r w:rsidRPr="00CA6BA6">
              <w:rPr>
                <w:sz w:val="19"/>
                <w:szCs w:val="19"/>
              </w:rPr>
              <w:t> Santi Lata Sahoo</w:t>
            </w:r>
            <w:r w:rsidR="004C0DDE" w:rsidRPr="00CA6BA6">
              <w:rPr>
                <w:sz w:val="19"/>
                <w:szCs w:val="19"/>
              </w:rPr>
              <w:t xml:space="preserve"> 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29-32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Biochemical and neurological effects of obesity on primary school girls</w:t>
            </w:r>
          </w:p>
          <w:p w:rsidR="004C0DDE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Hanaa H. Ahmed; Abla G. Khalifa; Emad F. Eskander; Alaa H. Sayed and Ismail M.  Abdel-Nabi</w:t>
            </w:r>
            <w:r w:rsidR="004C0DDE" w:rsidRPr="00CA6BA6">
              <w:rPr>
                <w:sz w:val="19"/>
                <w:szCs w:val="19"/>
              </w:rPr>
              <w:t xml:space="preserve"> 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33-43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NEAREST NEIGHBOUR PATTERN OF SPATIAL VARIATION IN EXPERIMENTAL FIELDS.</w:t>
            </w:r>
          </w:p>
          <w:p w:rsidR="004C0DDE" w:rsidRPr="00CA6BA6" w:rsidRDefault="00022FF1" w:rsidP="00E330C1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Dauda, T.O.</w:t>
            </w:r>
          </w:p>
          <w:p w:rsidR="00022FF1" w:rsidRPr="00CA6BA6" w:rsidRDefault="004C0DDE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44-53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QUANTITATIVE SPECIFICATION OF POTENTIALLY TOXIC METALS IN EXPIRED CANNED TOMATOES FOUND IN VILLAGE MARKETS</w:t>
            </w:r>
          </w:p>
          <w:p w:rsidR="006B48E7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 Itodo U. Adams and Itodo U. Happiness</w:t>
            </w:r>
            <w:r w:rsidR="006B48E7" w:rsidRPr="00CA6BA6">
              <w:rPr>
                <w:sz w:val="19"/>
                <w:szCs w:val="19"/>
              </w:rPr>
              <w:t xml:space="preserve"> 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54-59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THE EFFECT OF DIFFERENT CONCENTRATION OF GINGER ON THE QUALITY OF SMOKED DRIED CATFISH (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Clarias gariepinus</w:t>
            </w:r>
            <w:r w:rsidRPr="00CA6BA6">
              <w:rPr>
                <w:b/>
                <w:bCs/>
                <w:sz w:val="19"/>
                <w:szCs w:val="19"/>
              </w:rPr>
              <w:t>)</w:t>
            </w:r>
          </w:p>
          <w:p w:rsidR="006B48E7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Idris, Garba Libata, Omojowo, Funso Samuel.;</w:t>
            </w:r>
            <w:r w:rsidR="00CA6BA6" w:rsidRPr="00CA6BA6">
              <w:rPr>
                <w:rFonts w:hint="eastAsia"/>
                <w:sz w:val="19"/>
                <w:szCs w:val="19"/>
              </w:rPr>
              <w:t xml:space="preserve"> </w:t>
            </w:r>
            <w:r w:rsidRPr="00CA6BA6">
              <w:rPr>
                <w:sz w:val="19"/>
                <w:szCs w:val="19"/>
              </w:rPr>
              <w:t>Omojasola Patricia Folake,</w:t>
            </w:r>
            <w:r w:rsidR="00CA6BA6" w:rsidRPr="00CA6BA6">
              <w:rPr>
                <w:rFonts w:hint="eastAsia"/>
                <w:sz w:val="19"/>
                <w:szCs w:val="19"/>
              </w:rPr>
              <w:t xml:space="preserve"> </w:t>
            </w:r>
            <w:r w:rsidRPr="00CA6BA6">
              <w:rPr>
                <w:sz w:val="19"/>
                <w:szCs w:val="19"/>
              </w:rPr>
              <w:t>Adetunji Charles Oluwaseun, and Ngwu Emmanuel onyebuchi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59-6</w:t>
            </w:r>
            <w:r w:rsidRPr="00CA6BA6">
              <w:rPr>
                <w:rFonts w:hint="eastAsia"/>
                <w:b/>
                <w:sz w:val="19"/>
                <w:szCs w:val="19"/>
              </w:rPr>
              <w:t>3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Diagnostic Role Of Resistin In Nonalchoholic Fatty Liver Disease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Engy Yousry  Elsayed,  Amal Shawky  Mohamed, Hala Abd Elal  and Eman Hamed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64-6</w:t>
            </w:r>
            <w:r w:rsidRPr="00CA6BA6">
              <w:rPr>
                <w:rFonts w:hint="eastAsia"/>
                <w:b/>
                <w:sz w:val="19"/>
                <w:szCs w:val="19"/>
              </w:rPr>
              <w:t>8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color w:val="000000"/>
                <w:sz w:val="19"/>
                <w:szCs w:val="19"/>
              </w:rPr>
              <w:t>Assessing Environmental Flow Modeling For Water Resources Management: A Case of Sg. (River) Pelus</w:t>
            </w:r>
            <w:r w:rsidRPr="00CA6BA6">
              <w:rPr>
                <w:b/>
                <w:bCs/>
                <w:sz w:val="19"/>
                <w:szCs w:val="19"/>
              </w:rPr>
              <w:t>, Malaysia</w:t>
            </w:r>
          </w:p>
          <w:p w:rsidR="006B48E7" w:rsidRPr="00CA6BA6" w:rsidRDefault="00022FF1" w:rsidP="00E330C1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Mohd Ekhwan Toriman</w:t>
            </w:r>
          </w:p>
          <w:p w:rsidR="00022FF1" w:rsidRPr="00CA6BA6" w:rsidRDefault="006B48E7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69-76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Mutagenic and antimutagenic effects of some plant extracts in Drosophilla melanogaster</w:t>
            </w:r>
          </w:p>
          <w:p w:rsidR="006B48E7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  <w:lang w:val="es-ES"/>
              </w:rPr>
              <w:t> Ahmed, E.S. ;Twaty,N.H;</w:t>
            </w:r>
            <w:r w:rsidRPr="00CA6BA6">
              <w:rPr>
                <w:sz w:val="19"/>
                <w:szCs w:val="19"/>
                <w:rtl/>
                <w:lang w:val="es-ES"/>
              </w:rPr>
              <w:t> </w:t>
            </w:r>
            <w:r w:rsidRPr="00CA6BA6">
              <w:rPr>
                <w:sz w:val="19"/>
                <w:szCs w:val="19"/>
              </w:rPr>
              <w:t>Fakiha K.G.</w:t>
            </w:r>
            <w:r w:rsidRPr="00CA6BA6">
              <w:rPr>
                <w:sz w:val="19"/>
                <w:szCs w:val="19"/>
                <w:rtl/>
              </w:rPr>
              <w:t> </w:t>
            </w:r>
            <w:r w:rsidRPr="00CA6BA6">
              <w:rPr>
                <w:sz w:val="19"/>
                <w:szCs w:val="19"/>
                <w:lang w:val="en-GB"/>
              </w:rPr>
              <w:t>and </w:t>
            </w:r>
            <w:r w:rsidRPr="00CA6BA6">
              <w:rPr>
                <w:sz w:val="19"/>
                <w:szCs w:val="19"/>
              </w:rPr>
              <w:t>Bibars  M.A.</w:t>
            </w:r>
            <w:r w:rsidRPr="00CA6BA6">
              <w:rPr>
                <w:sz w:val="19"/>
                <w:szCs w:val="19"/>
                <w:rtl/>
              </w:rPr>
              <w:t> </w:t>
            </w:r>
            <w:r w:rsidRPr="00CA6BA6">
              <w:rPr>
                <w:sz w:val="19"/>
                <w:szCs w:val="19"/>
              </w:rPr>
              <w:t> 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77-82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Evaluation of Proximate and Phytochemical Compositions of Fermented Raw and Fermented 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NapoleonaImperialis</w:t>
            </w:r>
            <w:r w:rsidRPr="00CA6BA6">
              <w:rPr>
                <w:b/>
                <w:bCs/>
                <w:sz w:val="19"/>
                <w:szCs w:val="19"/>
              </w:rPr>
              <w:t> Seed and Their Feeding Values on Finisher Broilers</w:t>
            </w:r>
          </w:p>
          <w:p w:rsidR="006B48E7" w:rsidRPr="00CA6BA6" w:rsidRDefault="006B48E7" w:rsidP="00E330C1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Martin Chukwudi Uchegbu,</w:t>
            </w:r>
            <w:r w:rsidR="00022FF1" w:rsidRPr="00CA6BA6">
              <w:rPr>
                <w:sz w:val="19"/>
                <w:szCs w:val="19"/>
              </w:rPr>
              <w:t>Cynthia </w:t>
            </w:r>
            <w:r w:rsidRPr="00CA6BA6">
              <w:rPr>
                <w:rFonts w:hint="eastAsia"/>
                <w:sz w:val="19"/>
                <w:szCs w:val="19"/>
              </w:rPr>
              <w:t xml:space="preserve"> </w:t>
            </w:r>
            <w:r w:rsidR="00022FF1" w:rsidRPr="00CA6BA6">
              <w:rPr>
                <w:sz w:val="19"/>
                <w:szCs w:val="19"/>
              </w:rPr>
              <w:t>Okere,</w:t>
            </w:r>
            <w:r w:rsidRPr="00CA6BA6">
              <w:rPr>
                <w:rFonts w:hint="eastAsia"/>
                <w:sz w:val="19"/>
                <w:szCs w:val="19"/>
              </w:rPr>
              <w:t xml:space="preserve"> </w:t>
            </w:r>
            <w:r w:rsidR="00022FF1" w:rsidRPr="00CA6BA6">
              <w:rPr>
                <w:sz w:val="19"/>
                <w:szCs w:val="19"/>
              </w:rPr>
              <w:t> Ifeanyi Princewill </w:t>
            </w:r>
            <w:r w:rsidRPr="00CA6BA6">
              <w:rPr>
                <w:rFonts w:hint="eastAsia"/>
                <w:sz w:val="19"/>
                <w:szCs w:val="19"/>
              </w:rPr>
              <w:t xml:space="preserve"> </w:t>
            </w:r>
            <w:r w:rsidR="00CA6BA6" w:rsidRPr="00CA6BA6">
              <w:rPr>
                <w:sz w:val="19"/>
                <w:szCs w:val="19"/>
              </w:rPr>
              <w:t>Ogbuewu</w:t>
            </w:r>
            <w:r w:rsidR="00022FF1" w:rsidRPr="00CA6BA6">
              <w:rPr>
                <w:sz w:val="19"/>
                <w:szCs w:val="19"/>
              </w:rPr>
              <w:t>, 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Ifeanyi </w:t>
            </w:r>
            <w:r w:rsidR="006B48E7" w:rsidRPr="00CA6BA6">
              <w:rPr>
                <w:rFonts w:hint="eastAsia"/>
                <w:sz w:val="19"/>
                <w:szCs w:val="19"/>
              </w:rPr>
              <w:t xml:space="preserve"> </w:t>
            </w:r>
            <w:r w:rsidRPr="00CA6BA6">
              <w:rPr>
                <w:sz w:val="19"/>
                <w:szCs w:val="19"/>
              </w:rPr>
              <w:t>Charles Okoli, Chibuzor HopeNwaodu, Chike Timothy Ezeokeke, George Akalefu Anyanwu</w:t>
            </w:r>
          </w:p>
          <w:p w:rsidR="006B48E7" w:rsidRPr="00CA6BA6" w:rsidRDefault="006B48E7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83-8</w:t>
            </w:r>
            <w:r w:rsidRPr="00CA6BA6">
              <w:rPr>
                <w:rFonts w:hint="eastAsia"/>
                <w:b/>
                <w:color w:val="000000"/>
                <w:sz w:val="19"/>
                <w:szCs w:val="19"/>
              </w:rPr>
              <w:t>8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lastRenderedPageBreak/>
              <w:t>14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Plasmid Associated Anthracene Degradation by 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Pseudomonas</w:t>
            </w:r>
            <w:r w:rsidRPr="00CA6BA6">
              <w:rPr>
                <w:b/>
                <w:bCs/>
                <w:sz w:val="19"/>
                <w:szCs w:val="19"/>
              </w:rPr>
              <w:t> sp. Isolated from Filling Station Site</w:t>
            </w:r>
          </w:p>
          <w:p w:rsidR="006B48E7" w:rsidRPr="00CA6BA6" w:rsidRDefault="00022FF1" w:rsidP="00E330C1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Gulshan Kumar, Rajesh Singla, Rakesh Kumar</w:t>
            </w:r>
          </w:p>
          <w:p w:rsidR="00022FF1" w:rsidRPr="00CA6BA6" w:rsidRDefault="006B48E7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both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89-94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Anthelmintic comparative study of 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Solanum lycocarpum</w:t>
            </w:r>
            <w:r w:rsidRPr="00CA6BA6">
              <w:rPr>
                <w:b/>
                <w:bCs/>
                <w:sz w:val="19"/>
                <w:szCs w:val="19"/>
              </w:rPr>
              <w:t> St. Hill extracts in mice naturally infected with</w:t>
            </w:r>
            <w:r w:rsidRPr="00CA6BA6">
              <w:rPr>
                <w:b/>
                <w:bCs/>
                <w:i/>
                <w:iCs/>
                <w:smallCaps/>
                <w:sz w:val="19"/>
                <w:szCs w:val="19"/>
              </w:rPr>
              <w:t>a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spiculuris tetraptera</w:t>
            </w:r>
            <w:r w:rsidRPr="00CA6BA6">
              <w:rPr>
                <w:b/>
                <w:bCs/>
                <w:sz w:val="19"/>
                <w:szCs w:val="19"/>
              </w:rPr>
              <w:t>.</w:t>
            </w:r>
          </w:p>
          <w:p w:rsidR="006B48E7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</w:t>
            </w:r>
            <w:r w:rsidRPr="00CA6BA6">
              <w:rPr>
                <w:color w:val="000000"/>
                <w:sz w:val="19"/>
                <w:szCs w:val="19"/>
                <w:lang w:val="pt-BR"/>
              </w:rPr>
              <w:t>Borba, H .R.  ,Freire, R. B., Albuquerque, A. C. , Cardoso, M.E.O. , Braga, I.G. , Almeida, S. T. P. , Ferreira, M. J. C. , Fernandes, G. L. T , Camacho, A. C. L. F., Lima, R. C. , Almeida, A. C. C., Mattos, D. M. M. , Duarte, R. M., Nascimento, S. F. , Framil R. A.,  Diré, G. F. </w:t>
            </w:r>
            <w:r w:rsidR="006B48E7" w:rsidRPr="00CA6BA6">
              <w:rPr>
                <w:sz w:val="19"/>
                <w:szCs w:val="19"/>
              </w:rPr>
              <w:t xml:space="preserve"> 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95-100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A Review on the Future of Ecotourism in the Valley of Flowers National Park: A Case Study of GarhwalHimalaya, India</w:t>
            </w:r>
          </w:p>
          <w:p w:rsidR="006B48E7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 </w:t>
            </w:r>
            <w:r w:rsidRPr="00CA6BA6">
              <w:rPr>
                <w:sz w:val="19"/>
                <w:szCs w:val="19"/>
              </w:rPr>
              <w:t>GBG Shashi. K Tiwari, GBG Pananjay K. Tiwari and S.C Tiwari</w:t>
            </w:r>
            <w:r w:rsidR="006B48E7" w:rsidRPr="00CA6BA6">
              <w:rPr>
                <w:sz w:val="19"/>
                <w:szCs w:val="19"/>
              </w:rPr>
              <w:t xml:space="preserve"> 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101-106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Diabetogenic Effect of Pregnancy in Sprague-Dawley (SPD) Rats: Potential use as Experimental Model of Human Gestational Diabetes</w:t>
            </w:r>
          </w:p>
          <w:p w:rsidR="006B48E7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Idowu Adewunmi Taiwo, Olusoji Olurotimi Adewumi, Albert Kolawole Odunlade, </w:t>
            </w:r>
            <w:r w:rsidR="00CA6BA6" w:rsidRPr="00CA6BA6">
              <w:rPr>
                <w:rFonts w:hint="eastAsia"/>
                <w:sz w:val="19"/>
                <w:szCs w:val="19"/>
              </w:rPr>
              <w:t xml:space="preserve"> </w:t>
            </w:r>
            <w:r w:rsidRPr="00CA6BA6">
              <w:rPr>
                <w:sz w:val="19"/>
                <w:szCs w:val="19"/>
              </w:rPr>
              <w:t>Liasu Adebayo Ogunkanmi, Peter Godwin Chikwenye Odeigah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107-111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Studies on growth, nutritional and microbiological status of citrus seedlings infested with root-rot disease</w:t>
            </w:r>
          </w:p>
          <w:p w:rsidR="006B48E7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 xml:space="preserve"> Elham Z. Abd El-Motty; Selim, El-Metwally; Youssef, Rifaat Abou and Sahab, 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112-121</w:t>
            </w:r>
          </w:p>
        </w:tc>
      </w:tr>
      <w:tr w:rsidR="00BF1BB5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BB5" w:rsidRPr="00CA6BA6" w:rsidRDefault="00E330C1" w:rsidP="00CA6BA6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482" w:type="dxa"/>
          </w:tcPr>
          <w:p w:rsidR="00BF1BB5" w:rsidRPr="00CA6BA6" w:rsidRDefault="00BF1BB5" w:rsidP="00CA6BA6">
            <w:pPr>
              <w:pStyle w:val="2"/>
              <w:shd w:val="clear" w:color="auto" w:fill="FFFFFF"/>
              <w:bidi w:val="0"/>
              <w:adjustRightInd w:val="0"/>
              <w:snapToGrid w:val="0"/>
              <w:spacing w:before="0" w:after="0" w:line="240" w:lineRule="auto"/>
              <w:rPr>
                <w:color w:val="000000"/>
                <w:sz w:val="19"/>
                <w:szCs w:val="19"/>
              </w:rPr>
            </w:pPr>
            <w:r w:rsidRPr="00CA6BA6">
              <w:rPr>
                <w:rFonts w:ascii="Times New Roman" w:hAnsi="Times New Roman"/>
                <w:i w:val="0"/>
                <w:iCs w:val="0"/>
                <w:color w:val="000000"/>
                <w:sz w:val="19"/>
                <w:szCs w:val="19"/>
                <w:rtl/>
              </w:rPr>
              <w:t>Scanning Electron Microcopy Studies on Mango Malformation</w:t>
            </w:r>
          </w:p>
          <w:p w:rsidR="00E330C1" w:rsidRPr="00CA6BA6" w:rsidRDefault="00E330C1" w:rsidP="00CA6BA6">
            <w:pPr>
              <w:pStyle w:val="2"/>
              <w:shd w:val="clear" w:color="auto" w:fill="FFFFFF"/>
              <w:bidi w:val="0"/>
              <w:adjustRightInd w:val="0"/>
              <w:snapToGrid w:val="0"/>
              <w:spacing w:before="0" w:after="0" w:line="240" w:lineRule="auto"/>
              <w:rPr>
                <w:color w:val="000000"/>
                <w:sz w:val="19"/>
                <w:szCs w:val="19"/>
              </w:rPr>
            </w:pPr>
            <w:r w:rsidRPr="00CA6BA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  <w:rtl/>
              </w:rPr>
              <w:t>Wafaa Haggag M</w:t>
            </w:r>
            <w:r w:rsidRPr="00CA6BA6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  <w:rtl/>
              </w:rPr>
              <w:t> </w:t>
            </w:r>
            <w:r w:rsidRPr="00CA6BA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  <w:rtl/>
              </w:rPr>
              <w:t>, Hazza M,</w:t>
            </w:r>
            <w:r w:rsidRPr="00CA6BA6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  <w:rtl/>
              </w:rPr>
              <w:t> </w:t>
            </w:r>
            <w:r w:rsidRPr="00CA6BA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  <w:rtl/>
              </w:rPr>
              <w:t xml:space="preserve">, Sehab A, Abd El-Wahab </w:t>
            </w:r>
          </w:p>
          <w:p w:rsidR="00E330C1" w:rsidRPr="00CA6BA6" w:rsidRDefault="00E330C1" w:rsidP="00CA6BA6">
            <w:pPr>
              <w:adjustRightInd w:val="0"/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6" w:type="dxa"/>
          </w:tcPr>
          <w:p w:rsidR="00BF1BB5" w:rsidRPr="00CA6BA6" w:rsidRDefault="00BF1BB5" w:rsidP="00CA6BA6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BF1BB5" w:rsidRPr="00CA6BA6" w:rsidRDefault="00E330C1" w:rsidP="00CA6BA6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122-127</w:t>
            </w:r>
          </w:p>
        </w:tc>
      </w:tr>
      <w:tr w:rsidR="00BF1BB5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BB5" w:rsidRPr="00CA6BA6" w:rsidRDefault="00BF1BB5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7482" w:type="dxa"/>
          </w:tcPr>
          <w:p w:rsidR="00BF1BB5" w:rsidRPr="00CA6BA6" w:rsidRDefault="00BF1BB5" w:rsidP="00E330C1">
            <w:pPr>
              <w:shd w:val="clear" w:color="auto" w:fill="FFFFFF"/>
              <w:adjustRightInd w:val="0"/>
              <w:snapToGrid w:val="0"/>
              <w:rPr>
                <w:color w:val="000000"/>
                <w:sz w:val="19"/>
                <w:szCs w:val="19"/>
              </w:rPr>
            </w:pPr>
            <w:r w:rsidRPr="00CA6BA6">
              <w:rPr>
                <w:b/>
                <w:bCs/>
                <w:color w:val="000000"/>
                <w:sz w:val="19"/>
                <w:szCs w:val="19"/>
              </w:rPr>
              <w:t>Epidemiology and the Association of the </w:t>
            </w:r>
            <w:r w:rsidRPr="00CA6BA6"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 w:rsidRPr="00CA6BA6">
              <w:rPr>
                <w:rStyle w:val="spelle"/>
                <w:b/>
                <w:bCs/>
                <w:i/>
                <w:iCs/>
                <w:color w:val="000000"/>
                <w:sz w:val="19"/>
                <w:szCs w:val="19"/>
              </w:rPr>
              <w:t>Fusarium</w:t>
            </w:r>
            <w:r w:rsidRPr="00CA6BA6">
              <w:rPr>
                <w:b/>
                <w:bCs/>
                <w:color w:val="000000"/>
                <w:sz w:val="19"/>
                <w:szCs w:val="19"/>
              </w:rPr>
              <w:t>  Species with the Mango Malformation Disease</w:t>
            </w:r>
            <w:r w:rsidRPr="00CA6BA6"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 w:rsidRPr="00CA6BA6">
              <w:rPr>
                <w:b/>
                <w:bCs/>
                <w:color w:val="000000"/>
                <w:sz w:val="19"/>
                <w:szCs w:val="19"/>
                <w:lang/>
              </w:rPr>
              <w:t>in Egypt</w:t>
            </w:r>
          </w:p>
          <w:p w:rsidR="00BF1BB5" w:rsidRPr="00CA6BA6" w:rsidRDefault="00BF1BB5" w:rsidP="00E330C1">
            <w:pPr>
              <w:pStyle w:val="2"/>
              <w:shd w:val="clear" w:color="auto" w:fill="FFFFFF"/>
              <w:bidi w:val="0"/>
              <w:adjustRightInd w:val="0"/>
              <w:snapToGrid w:val="0"/>
              <w:spacing w:before="0" w:after="0" w:line="240" w:lineRule="auto"/>
              <w:rPr>
                <w:rFonts w:cs="宋体"/>
                <w:color w:val="000000"/>
                <w:sz w:val="19"/>
                <w:szCs w:val="19"/>
              </w:rPr>
            </w:pPr>
            <w:r w:rsidRPr="00CA6BA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  <w:rtl/>
              </w:rPr>
              <w:t>Wafaa Haggag M, Hazza M, Sehab A, Abd El-Wahab M</w:t>
            </w:r>
          </w:p>
          <w:p w:rsidR="00BF1BB5" w:rsidRPr="00CA6BA6" w:rsidRDefault="00BF1BB5" w:rsidP="00E330C1">
            <w:pPr>
              <w:adjustRightInd w:val="0"/>
              <w:snapToGrid w:val="0"/>
              <w:rPr>
                <w:b/>
                <w:sz w:val="19"/>
                <w:szCs w:val="19"/>
                <w:rtl/>
              </w:rPr>
            </w:pPr>
          </w:p>
        </w:tc>
        <w:tc>
          <w:tcPr>
            <w:tcW w:w="396" w:type="dxa"/>
          </w:tcPr>
          <w:p w:rsidR="00BF1BB5" w:rsidRPr="00CA6BA6" w:rsidRDefault="00BF1BB5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BF1BB5" w:rsidRPr="00CA6BA6" w:rsidRDefault="00BF1BB5" w:rsidP="003F1F8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128-135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Biochemical evaluation of the effect of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 Rhazya stricta aqueous</w:t>
            </w:r>
            <w:r w:rsidRPr="00CA6BA6">
              <w:rPr>
                <w:b/>
                <w:bCs/>
                <w:sz w:val="19"/>
                <w:szCs w:val="19"/>
              </w:rPr>
              <w:t> leaves extract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 </w:t>
            </w:r>
            <w:r w:rsidRPr="00CA6BA6">
              <w:rPr>
                <w:b/>
                <w:bCs/>
                <w:sz w:val="19"/>
                <w:szCs w:val="19"/>
              </w:rPr>
              <w:t>in liver and kidney functions in Rats</w:t>
            </w:r>
          </w:p>
          <w:p w:rsidR="00E330C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</w:t>
            </w:r>
            <w:r w:rsidRPr="00CA6BA6">
              <w:rPr>
                <w:color w:val="000000"/>
                <w:sz w:val="19"/>
                <w:szCs w:val="19"/>
              </w:rPr>
              <w:t>Nabih A. Baeshen ; </w:t>
            </w:r>
            <w:r w:rsidRPr="00CA6BA6">
              <w:rPr>
                <w:sz w:val="19"/>
                <w:szCs w:val="19"/>
              </w:rPr>
              <w:t>Sahira A. Lari</w:t>
            </w:r>
            <w:r w:rsidRPr="00CA6BA6">
              <w:rPr>
                <w:color w:val="000000"/>
                <w:sz w:val="19"/>
                <w:szCs w:val="19"/>
              </w:rPr>
              <w:t> </w:t>
            </w:r>
            <w:r w:rsidRPr="00CA6BA6">
              <w:rPr>
                <w:sz w:val="19"/>
                <w:szCs w:val="19"/>
              </w:rPr>
              <w:t>; Huda A. Aldoghaither   and Ayman I. Elkady</w:t>
            </w:r>
            <w:r w:rsidR="00E330C1" w:rsidRPr="00CA6BA6">
              <w:rPr>
                <w:sz w:val="19"/>
                <w:szCs w:val="19"/>
              </w:rPr>
              <w:t xml:space="preserve"> 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136-142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color w:val="000000"/>
                <w:sz w:val="19"/>
                <w:szCs w:val="19"/>
              </w:rPr>
              <w:t>Some biochemical Studies on Friesian Suffering from Subclinical Mastitis</w:t>
            </w:r>
          </w:p>
          <w:p w:rsidR="00E330C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</w:t>
            </w:r>
            <w:r w:rsidRPr="00CA6BA6">
              <w:rPr>
                <w:color w:val="000000"/>
                <w:sz w:val="19"/>
                <w:szCs w:val="19"/>
              </w:rPr>
              <w:t>Mona S. Zaki and Nabila El-Battrawy &amp; Susan, O. Mostafa,</w:t>
            </w:r>
            <w:r w:rsidRPr="00CA6BA6">
              <w:rPr>
                <w:sz w:val="19"/>
                <w:szCs w:val="19"/>
              </w:rPr>
              <w:t> </w:t>
            </w:r>
            <w:r w:rsidRPr="00CA6BA6">
              <w:rPr>
                <w:color w:val="000000"/>
                <w:sz w:val="19"/>
                <w:szCs w:val="19"/>
              </w:rPr>
              <w:t>Olfat M. Fawzi Iziz Awad</w:t>
            </w:r>
            <w:r w:rsidR="00E330C1" w:rsidRPr="00CA6BA6">
              <w:rPr>
                <w:sz w:val="19"/>
                <w:szCs w:val="19"/>
              </w:rPr>
              <w:t xml:space="preserve"> 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143-146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keepNext/>
              <w:adjustRightInd w:val="0"/>
              <w:snapToGrid w:val="0"/>
              <w:rPr>
                <w:b/>
                <w:bCs/>
                <w:sz w:val="19"/>
                <w:szCs w:val="19"/>
              </w:rPr>
            </w:pPr>
            <w:r w:rsidRPr="00CA6BA6">
              <w:rPr>
                <w:b/>
                <w:bCs/>
                <w:sz w:val="19"/>
                <w:szCs w:val="19"/>
              </w:rPr>
              <w:t>Bioaccumulation and histopathological alterations of the heavy metals in </w:t>
            </w:r>
            <w:r w:rsidRPr="00CA6BA6">
              <w:rPr>
                <w:b/>
                <w:bCs/>
                <w:i/>
                <w:iCs/>
                <w:sz w:val="19"/>
                <w:szCs w:val="19"/>
              </w:rPr>
              <w:t>Oreochromis niloticus</w:t>
            </w:r>
            <w:r w:rsidRPr="00CA6BA6">
              <w:rPr>
                <w:b/>
                <w:bCs/>
                <w:sz w:val="19"/>
                <w:szCs w:val="19"/>
              </w:rPr>
              <w:t> fish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 </w:t>
            </w:r>
            <w:r w:rsidRPr="00CA6BA6">
              <w:rPr>
                <w:color w:val="000000"/>
                <w:sz w:val="19"/>
                <w:szCs w:val="19"/>
              </w:rPr>
              <w:t>H.A. Kaoud and A.R. El-Dahshan</w:t>
            </w:r>
            <w:r w:rsidR="00E330C1" w:rsidRPr="00CA6BA6">
              <w:rPr>
                <w:sz w:val="19"/>
                <w:szCs w:val="19"/>
              </w:rPr>
              <w:t xml:space="preserve"> </w:t>
            </w:r>
          </w:p>
          <w:p w:rsidR="00E330C1" w:rsidRPr="00CA6BA6" w:rsidRDefault="00E330C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color w:val="000000"/>
                <w:sz w:val="19"/>
                <w:szCs w:val="19"/>
              </w:rPr>
              <w:t>147-156</w:t>
            </w:r>
          </w:p>
        </w:tc>
      </w:tr>
      <w:tr w:rsidR="00022FF1" w:rsidRPr="00CA6BA6" w:rsidTr="00CA6BA6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FF1" w:rsidRPr="00CA6BA6" w:rsidRDefault="00022FF1" w:rsidP="00022FF1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7482" w:type="dxa"/>
          </w:tcPr>
          <w:p w:rsidR="00022FF1" w:rsidRPr="00CA6BA6" w:rsidRDefault="00022FF1" w:rsidP="00E330C1">
            <w:pPr>
              <w:adjustRightInd w:val="0"/>
              <w:snapToGrid w:val="0"/>
              <w:rPr>
                <w:sz w:val="19"/>
                <w:szCs w:val="19"/>
              </w:rPr>
            </w:pPr>
            <w:r w:rsidRPr="00CA6BA6">
              <w:rPr>
                <w:b/>
                <w:bCs/>
                <w:spacing w:val="1"/>
                <w:sz w:val="19"/>
                <w:szCs w:val="19"/>
              </w:rPr>
              <w:t>Bioaccumulation of cadmium in the freshwater prawn </w:t>
            </w:r>
            <w:r w:rsidRPr="00CA6BA6">
              <w:rPr>
                <w:b/>
                <w:bCs/>
                <w:i/>
                <w:iCs/>
                <w:spacing w:val="1"/>
                <w:sz w:val="19"/>
                <w:szCs w:val="19"/>
              </w:rPr>
              <w:t>Macrobrachium rosenbergii</w:t>
            </w:r>
          </w:p>
          <w:p w:rsidR="00022FF1" w:rsidRPr="00CA6BA6" w:rsidRDefault="00022FF1" w:rsidP="00E330C1">
            <w:pPr>
              <w:adjustRightInd w:val="0"/>
              <w:snapToGrid w:val="0"/>
              <w:rPr>
                <w:rFonts w:hint="eastAsia"/>
                <w:spacing w:val="1"/>
                <w:sz w:val="19"/>
                <w:szCs w:val="19"/>
              </w:rPr>
            </w:pPr>
            <w:r w:rsidRPr="00CA6BA6">
              <w:rPr>
                <w:sz w:val="19"/>
                <w:szCs w:val="19"/>
              </w:rPr>
              <w:t>H.A. Kaoud and A. Rezk</w:t>
            </w:r>
            <w:r w:rsidRPr="00CA6BA6">
              <w:rPr>
                <w:spacing w:val="1"/>
                <w:sz w:val="19"/>
                <w:szCs w:val="19"/>
              </w:rPr>
              <w:t xml:space="preserve"> </w:t>
            </w:r>
          </w:p>
          <w:p w:rsidR="00E330C1" w:rsidRPr="00CA6BA6" w:rsidRDefault="00E330C1" w:rsidP="00E330C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96" w:type="dxa"/>
          </w:tcPr>
          <w:p w:rsidR="00022FF1" w:rsidRPr="00CA6BA6" w:rsidRDefault="00022FF1" w:rsidP="003F1F87">
            <w:pPr>
              <w:jc w:val="center"/>
              <w:rPr>
                <w:color w:val="0000FF"/>
                <w:sz w:val="19"/>
                <w:szCs w:val="19"/>
              </w:rPr>
            </w:pPr>
          </w:p>
        </w:tc>
        <w:tc>
          <w:tcPr>
            <w:tcW w:w="1101" w:type="dxa"/>
          </w:tcPr>
          <w:p w:rsidR="00022FF1" w:rsidRPr="00CA6BA6" w:rsidRDefault="00022FF1" w:rsidP="003F1F87">
            <w:pPr>
              <w:jc w:val="center"/>
              <w:rPr>
                <w:b/>
                <w:sz w:val="19"/>
                <w:szCs w:val="19"/>
              </w:rPr>
            </w:pPr>
            <w:r w:rsidRPr="00CA6BA6">
              <w:rPr>
                <w:b/>
                <w:sz w:val="19"/>
                <w:szCs w:val="19"/>
              </w:rPr>
              <w:t>157-168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22" w:rsidRDefault="00ED1022" w:rsidP="009A14FB">
      <w:r>
        <w:separator/>
      </w:r>
    </w:p>
  </w:endnote>
  <w:endnote w:type="continuationSeparator" w:id="1">
    <w:p w:rsidR="00ED1022" w:rsidRDefault="00ED102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F7B8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A6BA6" w:rsidRPr="00CA6BA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22" w:rsidRDefault="00ED1022" w:rsidP="009A14FB">
      <w:r>
        <w:separator/>
      </w:r>
    </w:p>
  </w:footnote>
  <w:footnote w:type="continuationSeparator" w:id="1">
    <w:p w:rsidR="00ED1022" w:rsidRDefault="00ED102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4C0DDE">
      <w:rPr>
        <w:rFonts w:hint="eastAsia"/>
        <w:sz w:val="20"/>
        <w:szCs w:val="20"/>
      </w:rPr>
      <w:t>0</w:t>
    </w:r>
    <w:r w:rsidR="00022FF1">
      <w:rPr>
        <w:rFonts w:hint="eastAsia"/>
        <w:sz w:val="20"/>
        <w:szCs w:val="20"/>
      </w:rPr>
      <w:t xml:space="preserve"> 8</w:t>
    </w:r>
    <w:r w:rsidRPr="001F3F6D">
      <w:rPr>
        <w:sz w:val="20"/>
        <w:szCs w:val="20"/>
      </w:rPr>
      <w:t>(</w:t>
    </w:r>
    <w:r w:rsidR="00022FF1">
      <w:rPr>
        <w:rFonts w:hint="eastAsia"/>
        <w:sz w:val="20"/>
        <w:szCs w:val="20"/>
      </w:rPr>
      <w:t>4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  <w:p w:rsidR="00201D0A" w:rsidRDefault="00201D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2FF1"/>
    <w:rsid w:val="00024D13"/>
    <w:rsid w:val="000319AE"/>
    <w:rsid w:val="000469AA"/>
    <w:rsid w:val="00060323"/>
    <w:rsid w:val="00082684"/>
    <w:rsid w:val="000A428F"/>
    <w:rsid w:val="000A6A87"/>
    <w:rsid w:val="000B0C4C"/>
    <w:rsid w:val="000E0E33"/>
    <w:rsid w:val="000F2277"/>
    <w:rsid w:val="000F7B86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01D0A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C0DDE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48E7"/>
    <w:rsid w:val="006C33BB"/>
    <w:rsid w:val="00704C24"/>
    <w:rsid w:val="00705B31"/>
    <w:rsid w:val="00720AC2"/>
    <w:rsid w:val="007354E0"/>
    <w:rsid w:val="00767C0C"/>
    <w:rsid w:val="007A79BE"/>
    <w:rsid w:val="007B0964"/>
    <w:rsid w:val="007B3C6E"/>
    <w:rsid w:val="007B7690"/>
    <w:rsid w:val="007D2283"/>
    <w:rsid w:val="007E7728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BF1BB5"/>
    <w:rsid w:val="00C02798"/>
    <w:rsid w:val="00C03DB0"/>
    <w:rsid w:val="00C329B4"/>
    <w:rsid w:val="00C414BA"/>
    <w:rsid w:val="00C46B73"/>
    <w:rsid w:val="00C60BBF"/>
    <w:rsid w:val="00C75EA1"/>
    <w:rsid w:val="00C771D0"/>
    <w:rsid w:val="00CA6BA6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330C1"/>
    <w:rsid w:val="00E54245"/>
    <w:rsid w:val="00E711E2"/>
    <w:rsid w:val="00E76183"/>
    <w:rsid w:val="00ED1022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pelle">
    <w:name w:val="spelle"/>
    <w:basedOn w:val="a0"/>
    <w:rsid w:val="00BF1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686</Words>
  <Characters>3913</Characters>
  <Application>Microsoft Office Word</Application>
  <DocSecurity>0</DocSecurity>
  <Lines>32</Lines>
  <Paragraphs>9</Paragraphs>
  <ScaleCrop>false</ScaleCrop>
  <Company>微软中国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4</cp:revision>
  <dcterms:created xsi:type="dcterms:W3CDTF">2013-07-29T12:35:00Z</dcterms:created>
  <dcterms:modified xsi:type="dcterms:W3CDTF">2013-08-05T07:51:00Z</dcterms:modified>
</cp:coreProperties>
</file>